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84BEE7">
      <w:pPr>
        <w:keepNext w:val="0"/>
        <w:keepLines w:val="0"/>
        <w:pageBreakBefore w:val="0"/>
        <w:widowControl w:val="0"/>
        <w:kinsoku/>
        <w:wordWrap/>
        <w:overflowPunct/>
        <w:topLinePunct w:val="0"/>
        <w:autoSpaceDE/>
        <w:autoSpaceDN/>
        <w:bidi w:val="0"/>
        <w:adjustRightInd/>
        <w:snapToGrid/>
        <w:spacing w:line="300" w:lineRule="auto"/>
        <w:jc w:val="center"/>
        <w:textAlignment w:val="auto"/>
        <w:rPr>
          <w:rFonts w:hint="default" w:ascii="Times New Roman Bold" w:hAnsi="Times New Roman Bold" w:cs="Times New Roman Bold"/>
          <w:b/>
          <w:bCs/>
          <w:lang w:val="en-US"/>
        </w:rPr>
      </w:pPr>
      <w:r>
        <w:rPr>
          <w:rFonts w:hint="default" w:ascii="Times New Roman Bold" w:hAnsi="Times New Roman Bold" w:cs="Times New Roman Bold"/>
          <w:b/>
          <w:bCs/>
          <w:lang w:val="en-US"/>
        </w:rPr>
        <w:t>Responses to RC1</w:t>
      </w:r>
    </w:p>
    <w:p w14:paraId="640E8164">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val="en-US"/>
        </w:rPr>
      </w:pPr>
    </w:p>
    <w:p w14:paraId="7F02FD79">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val="en-US"/>
        </w:rPr>
      </w:pPr>
      <w:r>
        <w:rPr>
          <w:rFonts w:hint="default" w:ascii="Times New Roman Regular" w:hAnsi="Times New Roman Regular" w:cs="Times New Roman Regular"/>
          <w:lang w:val="en-US"/>
        </w:rPr>
        <w:t>The manuscript addresses an important geoscientific problem and presents potentially valuable findings. However, several methodological, structural, and interpretative issues limit the clarity, reproducibility, and robustness of the conclusions. Substantial revision is required before the manuscript can be considered for publication. The topic is relevant and potentially publishable but the manuscript requires major revision to improve its quality.</w:t>
      </w:r>
    </w:p>
    <w:p w14:paraId="46B3E4B7">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val="en-US"/>
        </w:rPr>
      </w:pPr>
    </w:p>
    <w:p w14:paraId="2BAFB996">
      <w:pPr>
        <w:keepNext w:val="0"/>
        <w:keepLines w:val="0"/>
        <w:pageBreakBefore w:val="0"/>
        <w:widowControl w:val="0"/>
        <w:numPr>
          <w:ilvl w:val="0"/>
          <w:numId w:val="1"/>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Page 2, Lines 10–15</w:t>
      </w:r>
      <w:r>
        <w:rPr>
          <w:rFonts w:hint="default" w:ascii="Times New Roman Regular" w:hAnsi="Times New Roman Regular" w:cs="Times New Roman Regular"/>
          <w:lang w:val="en-US" w:eastAsia="zh-CN"/>
        </w:rPr>
        <w:t xml:space="preserve">. </w:t>
      </w:r>
      <w:r>
        <w:rPr>
          <w:rFonts w:hint="default" w:ascii="Times New Roman Regular" w:hAnsi="Times New Roman Regular" w:cs="Times New Roman Regular" w:eastAsiaTheme="minorEastAsia"/>
          <w:lang w:val="en-US" w:eastAsia="zh-CN"/>
        </w:rPr>
        <w:t>The introduction provides general background but does not clearly articulate the precise research gap. While prior studies are cited, it remains unclear What specific limitation of previous work is being addressed? Whether this study offers methodological novelty or merely a regional application? How the proposed approach differs from existing frameworks?</w:t>
      </w:r>
    </w:p>
    <w:p w14:paraId="0EB130B8">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A clearer paragraph explicitly stating identified gap, the proposed advancement, and the expected contribution is necessary.</w:t>
      </w:r>
    </w:p>
    <w:p w14:paraId="7BFA3E2A">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p>
    <w:p w14:paraId="030CB6B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sincerely appreciate this insightful comment. The reviewer is correct that the original Introduction lacked explicit articulation of specific research gaps and methodological distinctions. We have thoroughly revised the Introduction to address these concerns:</w:t>
      </w:r>
    </w:p>
    <w:p w14:paraId="2EAC31E7">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1. Explicit articulation of research gaps (What specific limitation is addressed):</w:t>
      </w:r>
    </w:p>
    <w:p w14:paraId="3516F035">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have added a new paragraph that explicitly identifies three critical gaps in previous work:</w:t>
      </w:r>
    </w:p>
    <w:p w14:paraId="40DB9E0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The data augmentation paradox: Existing virtual sample methods (GMM, VAEs, GANs) either fail to preserve non-linear geochemical manifold structures or require large training sets that are precisely lacking in environmental monitoring (Farnia et al., 2023; Zhou et al., 2025);</w:t>
      </w:r>
    </w:p>
    <w:p w14:paraId="7A2F9395">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The unexplored potential of remote sensing embeddings: While AEF has been applied to surface parameters, its utility for subsurface groundwater quality prediction across hydrological seasons remains untested (Tollefson, 2025; Li et al., 2025);</w:t>
      </w:r>
    </w:p>
    <w:p w14:paraId="63C5AF6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The unvalidated quantum-classical hybridization: Although QML offers theoretical advantages for complex pattern recognition, its practical efficacy in small-sample environmental modeling has not been systematically evaluated (Hong et al., 2025; Oliveira et al., 2025).</w:t>
      </w:r>
    </w:p>
    <w:p w14:paraId="04504F1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p>
    <w:p w14:paraId="1278C04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2. Clarification of methodological novelty vs. regional application:</w:t>
      </w:r>
    </w:p>
    <w:p w14:paraId="442EAF29">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have substantially rewritten the study objectives paragraph</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eastAsiaTheme="minorEastAsia"/>
          <w:color w:val="0000FF"/>
          <w:lang w:val="en-US" w:eastAsia="zh-CN"/>
        </w:rPr>
        <w:t>to explicitly distinguish methodological innovation from regional case study. The revised text clearly states that this study "develops a methodologically novel integrated framework that transcends mere regional application" and details three specific methodological advancements: (i) the t-SNE-GMM-KNN strategy for structure-preserving data augmentation; (ii) the hybrid quantum-classical RF architecture utilizing analytical quantum feature encoding; and (iii) the first application of AEF embeddings for groundwater nitrate screening.</w:t>
      </w:r>
    </w:p>
    <w:p w14:paraId="00CEA56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p>
    <w:p w14:paraId="3AE1154F">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3. Distinction from existing frameworks (How the approach differs):</w:t>
      </w:r>
    </w:p>
    <w:p w14:paraId="13EC0212">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explicitly contrast our approach with existing frameworks in the revised objectives paragraph: "Unlike previous studies that treat data augmentation, model architecture, and input features independently, this framework provides a unified, scalable solution that integrates virtual sample generation, quantum-enhanced machine learning, and remote sensing semantic features to simultaneously address data sparsity, seasonal heterogeneity, and feature extraction challenges."</w:t>
      </w:r>
    </w:p>
    <w:p w14:paraId="2F35D8F1">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p>
    <w:p w14:paraId="55C3746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Thank you for this valuable suggestion, which has significantly improved the clarity and rigor of our work.</w:t>
      </w:r>
    </w:p>
    <w:p w14:paraId="79D8A028">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p>
    <w:p w14:paraId="5CC57A59">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201DF669">
      <w:pPr>
        <w:spacing w:line="300" w:lineRule="auto"/>
        <w:outlineLvl w:val="0"/>
        <w:rPr>
          <w:rFonts w:ascii="Times New Roman Regular" w:hAnsi="Times New Roman Regular" w:cs="Times New Roman Regular"/>
          <w:color w:val="0000FF"/>
        </w:rPr>
      </w:pPr>
      <w:r>
        <w:rPr>
          <w:rFonts w:ascii="Times New Roman Regular" w:hAnsi="Times New Roman Regular" w:cs="Times New Roman Regular"/>
          <w:color w:val="0000FF"/>
        </w:rPr>
        <w:t>1. Introduction</w:t>
      </w:r>
    </w:p>
    <w:p w14:paraId="3882E1DA">
      <w:pPr>
        <w:spacing w:line="300" w:lineRule="auto"/>
        <w:ind w:firstLine="420"/>
        <w:rPr>
          <w:rFonts w:ascii="Times New Roman Regular" w:hAnsi="Times New Roman Regular" w:cs="Times New Roman Regular"/>
          <w:color w:val="0000FF"/>
        </w:rPr>
      </w:pPr>
      <w:bookmarkStart w:id="0" w:name="OLE_LINK1"/>
      <w:r>
        <w:rPr>
          <w:rFonts w:ascii="Times New Roman Regular" w:hAnsi="Times New Roman Regular" w:cs="Times New Roman Regular"/>
          <w:color w:val="0000FF"/>
        </w:rPr>
        <w:t>Nitrate (NO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contamination in groundwater poses a serious threat to drinking water safety and ecosystem health, particularly in intensively managed agricultural regions (Wang et al., 2021).</w:t>
      </w:r>
      <w:r>
        <w:rPr>
          <w:rFonts w:hint="eastAsia" w:ascii="Times New Roman Regular" w:hAnsi="Times New Roman Regular" w:cs="Times New Roman Regular"/>
          <w:color w:val="0000FF"/>
          <w:lang w:val="en-US" w:eastAsia="zh-CN"/>
        </w:rPr>
        <w:t xml:space="preserve"> In China, groundwater nitrate pollution is a growing concern</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color w:val="0000FF"/>
          <w:lang w:val="en-US" w:eastAsia="zh-CN"/>
        </w:rPr>
        <w:t>national monitoring data from 2013 to 2017 revealed a nitrate exceedance rate exceeding 10% relative to the Class III limit (88 mg L</w:t>
      </w:r>
      <w:r>
        <w:rPr>
          <w:rFonts w:hint="default" w:ascii="Times New Roman Regular" w:hAnsi="Times New Roman Regular" w:cs="Times New Roman Regular"/>
          <w:color w:val="0000FF"/>
          <w:vertAlign w:val="superscript"/>
          <w:lang w:val="en-US" w:eastAsia="zh-CN"/>
        </w:rPr>
        <w:t>-1</w:t>
      </w:r>
      <w:r>
        <w:rPr>
          <w:rFonts w:hint="eastAsia" w:ascii="Times New Roman Regular" w:hAnsi="Times New Roman Regular" w:cs="Times New Roman Regular"/>
          <w:color w:val="0000FF"/>
          <w:lang w:val="en-US" w:eastAsia="zh-CN"/>
        </w:rPr>
        <w:t xml:space="preserve"> as NO</w:t>
      </w:r>
      <w:r>
        <w:rPr>
          <w:rFonts w:hint="default" w:ascii="Times New Roman Regular" w:hAnsi="Times New Roman Regular" w:cs="Times New Roman Regular"/>
          <w:color w:val="0000FF"/>
          <w:vertAlign w:val="subscript"/>
          <w:lang w:val="en-US" w:eastAsia="zh-CN"/>
        </w:rPr>
        <w:t>3</w:t>
      </w:r>
      <w:r>
        <w:rPr>
          <w:rFonts w:hint="default" w:ascii="Times New Roman Regular" w:hAnsi="Times New Roman Regular" w:cs="Times New Roman Regular"/>
          <w:color w:val="0000FF"/>
          <w:vertAlign w:val="superscript"/>
          <w:lang w:val="en-US" w:eastAsia="zh-CN"/>
        </w:rPr>
        <w:t>-</w:t>
      </w:r>
      <w:r>
        <w:rPr>
          <w:rFonts w:hint="eastAsia" w:ascii="Times New Roman Regular" w:hAnsi="Times New Roman Regular" w:cs="Times New Roman Regular"/>
          <w:color w:val="0000FF"/>
          <w:lang w:val="en-US" w:eastAsia="zh-CN"/>
        </w:rPr>
        <w:t>) of the Chinese Groundwater Quality Standard (GB/T 14848-2017), with Hebei Province reporting an alarming rate of 31.66% in 2017</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rPr>
        <w:t>Li et al., 2019</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lang w:val="en-US" w:eastAsia="zh-CN"/>
        </w:rPr>
        <w:t>. Over recent decades, escalating nitrate concentrations in surface and groundwater have been driven by intensified fertilizer use in agriculture, along with discharges of industrial and domestic wastewater</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Zhang et al., 2018)</w:t>
      </w:r>
      <w:r>
        <w:rPr>
          <w:rFonts w:hint="eastAsia" w:ascii="Times New Roman Regular" w:hAnsi="Times New Roman Regular" w:cs="Times New Roman Regular"/>
          <w:color w:val="0000FF"/>
          <w:lang w:val="en-US" w:eastAsia="zh-CN"/>
        </w:rPr>
        <w:t xml:space="preserve">. Severe nitrate exceedances are especially prevalent in northern and northwestern China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Gu</w:t>
      </w:r>
      <w:r>
        <w:rPr>
          <w:rFonts w:hint="default" w:ascii="Times New Roman Regular" w:hAnsi="Times New Roman Regular" w:cs="Times New Roman Regular"/>
          <w:color w:val="0000FF"/>
          <w:lang w:val="en-US"/>
        </w:rPr>
        <w:t xml:space="preserve"> et al., 2013</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lang w:val="en-US" w:eastAsia="zh-CN"/>
        </w:rPr>
        <w:t xml:space="preserve">, where key contributors include domestic and industrial effluents, nitrification of soil organic nitrogen, and synthetic fertilizer application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Han</w:t>
      </w:r>
      <w:r>
        <w:rPr>
          <w:rFonts w:hint="default" w:ascii="Times New Roman Regular" w:hAnsi="Times New Roman Regular" w:cs="Times New Roman Regular"/>
          <w:color w:val="0000FF"/>
          <w:lang w:val="en-US"/>
        </w:rPr>
        <w:t xml:space="preserve"> et al., 2016</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lang w:val="en-US" w:eastAsia="zh-CN"/>
        </w:rPr>
        <w:t>. For instance, in the North China Plain, shallow groundwater nitrate exceedance rates range from 9.5% to 34.1% relative to the WHO drinking water guideline of 50 mg L</w:t>
      </w:r>
      <w:r>
        <w:rPr>
          <w:rFonts w:hint="eastAsia" w:ascii="Times New Roman Regular" w:hAnsi="Times New Roman Regular" w:cs="Times New Roman Regular"/>
          <w:color w:val="0000FF"/>
          <w:vertAlign w:val="superscript"/>
          <w:lang w:val="en-US" w:eastAsia="zh-CN"/>
        </w:rPr>
        <w:t>-1</w:t>
      </w:r>
      <w:r>
        <w:rPr>
          <w:rFonts w:hint="eastAsia" w:ascii="Times New Roman Regular" w:hAnsi="Times New Roman Regular" w:cs="Times New Roman Regular"/>
          <w:color w:val="0000FF"/>
          <w:lang w:val="en-US" w:eastAsia="zh-CN"/>
        </w:rPr>
        <w:t xml:space="preserve"> NO</w:t>
      </w:r>
      <w:r>
        <w:rPr>
          <w:rFonts w:hint="eastAsia" w:ascii="Times New Roman Regular" w:hAnsi="Times New Roman Regular" w:cs="Times New Roman Regular"/>
          <w:color w:val="0000FF"/>
          <w:vertAlign w:val="subscript"/>
          <w:lang w:val="en-US" w:eastAsia="zh-CN"/>
        </w:rPr>
        <w:t>3</w:t>
      </w:r>
      <w:r>
        <w:rPr>
          <w:rFonts w:hint="eastAsia" w:ascii="Times New Roman Regular" w:hAnsi="Times New Roman Regular" w:cs="Times New Roman Regular"/>
          <w:color w:val="0000FF"/>
          <w:vertAlign w:val="superscript"/>
          <w:lang w:val="en-US" w:eastAsia="zh-CN"/>
        </w:rPr>
        <w:t>-</w:t>
      </w:r>
      <w:r>
        <w:rPr>
          <w:rFonts w:hint="eastAsia" w:ascii="Times New Roman Regular" w:hAnsi="Times New Roman Regular" w:cs="Times New Roman Regular"/>
          <w:color w:val="0000FF"/>
          <w:lang w:val="en-US" w:eastAsia="zh-CN"/>
        </w:rPr>
        <w:t>, and a rising trend persists at the regional scale, particularly in agricultural areas</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rPr>
        <w:t>Wang</w:t>
      </w:r>
      <w:r>
        <w:rPr>
          <w:rFonts w:hint="default" w:ascii="Times New Roman Regular" w:hAnsi="Times New Roman Regular" w:cs="Times New Roman Regular"/>
          <w:color w:val="0000FF"/>
          <w:lang w:val="en-US"/>
        </w:rPr>
        <w:t xml:space="preserve"> et al., 2018</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lang w:val="en-US" w:eastAsia="zh-CN"/>
        </w:rPr>
        <w:t>.</w:t>
      </w:r>
      <w:r>
        <w:rPr>
          <w:rFonts w:ascii="Times New Roman Regular" w:hAnsi="Times New Roman Regular" w:cs="Times New Roman Regular"/>
          <w:color w:val="0000FF"/>
        </w:rPr>
        <w:t xml:space="preserve"> In monsoonal temperate regions, seasonal shifts in precipitation, evapotranspiration, and groundwater recharge profoundly influence the transport, dilution, and accumulation of nitrate, leading to pronounced intra-annual variability in its concentration and spatial distribution (Gao et al., 2023</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Zhu et al., 2025). Consequently, understanding and forecasting nitrate dynamics across hydrological seasons is essential for informed groundwater management and pollution mitigation, but remains a formidable challenge due to the nonlinearity, high dimensionality, and data scarcity inherent in such systems (Deng et al., 2023).</w:t>
      </w:r>
    </w:p>
    <w:p w14:paraId="6007AAA4">
      <w:pPr>
        <w:spacing w:line="300" w:lineRule="auto"/>
        <w:ind w:firstLine="420"/>
        <w:rPr>
          <w:rFonts w:hint="default" w:ascii="Times New Roman Regular" w:hAnsi="Times New Roman Regular" w:cs="Times New Roman Regular"/>
          <w:color w:val="0000FF"/>
          <w:lang w:val="en-US" w:eastAsia="zh-CN"/>
        </w:rPr>
      </w:pPr>
      <w:r>
        <w:rPr>
          <w:rFonts w:ascii="Times New Roman Regular" w:hAnsi="Times New Roman Regular" w:cs="Times New Roman Regular"/>
          <w:color w:val="0000FF"/>
        </w:rPr>
        <w:t xml:space="preserve">Traditional monitoring and modeling approaches face three critical limitations. First, field sampling campaigns though providing high-fidelity hydrochemical data are inherently sparse in space and time, especially for large-scale or rapidly changing environments (Viswanathan et al., 2022), which are time-consuming, labor-intensive, and costly, limiting the spatial and temporal coverage of data (Cai et al., 2025). Second, while process-based models incorporate physical mechanisms, they require extensive parameterization and are computationally prohibitive for dynamic, multi-season forecasting at farm-to-regional scales (Feng et al., 2022). Hydrological seasonal variations (normal, dry, and wet seasons) significantly influence the migration and transformation of nitrogen in the soil-groundwater system (Chen et al., 2025). For instance, </w:t>
      </w:r>
      <w:r>
        <w:rPr>
          <w:rFonts w:hint="eastAsia" w:ascii="Times New Roman Regular" w:hAnsi="Times New Roman Regular" w:cs="Times New Roman Regular"/>
          <w:color w:val="0000FF"/>
        </w:rPr>
        <w:t>concentrated rainfall during the wet season (accounting for 60%</w:t>
      </w:r>
      <w:r>
        <w:rPr>
          <w:rFonts w:hint="eastAsia"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rPr>
        <w:t>80% of annual precipitation) can promote the leaching of surface nitrogen into groundwater, leading to a 25-fold increase in stream nitrate concentrations during storm events compared to baseflow (</w:t>
      </w:r>
      <w:r>
        <w:rPr>
          <w:rFonts w:hint="default" w:ascii="Times New Roman Regular" w:hAnsi="Times New Roman Regular" w:cs="Times New Roman Regular"/>
          <w:color w:val="0000FF"/>
        </w:rPr>
        <w:t>Sebestyen</w:t>
      </w:r>
      <w:r>
        <w:rPr>
          <w:rFonts w:hint="default" w:ascii="Times New Roman Regular" w:hAnsi="Times New Roman Regular" w:cs="Times New Roman Regular"/>
          <w:color w:val="0000FF"/>
          <w:lang w:val="en-US"/>
        </w:rPr>
        <w:t xml:space="preserve"> et al.</w:t>
      </w:r>
      <w:r>
        <w:rPr>
          <w:rFonts w:hint="eastAsia" w:ascii="Times New Roman Regular" w:hAnsi="Times New Roman Regular" w:cs="Times New Roman Regular"/>
          <w:color w:val="0000FF"/>
        </w:rPr>
        <w:t>, 20</w:t>
      </w:r>
      <w:r>
        <w:rPr>
          <w:rFonts w:hint="default" w:ascii="Times New Roman Regular" w:hAnsi="Times New Roman Regular" w:cs="Times New Roman Regular"/>
          <w:color w:val="0000FF"/>
          <w:lang w:val="en-US"/>
        </w:rPr>
        <w:t>14</w:t>
      </w:r>
      <w:r>
        <w:rPr>
          <w:rFonts w:hint="eastAsia" w:ascii="Times New Roman Regular" w:hAnsi="Times New Roman Regular" w:cs="Times New Roman Regular"/>
          <w:color w:val="0000FF"/>
        </w:rPr>
        <w:t>)</w:t>
      </w:r>
      <w:r>
        <w:rPr>
          <w:rFonts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mean</w:t>
      </w:r>
      <w:r>
        <w:rPr>
          <w:rFonts w:ascii="Times New Roman Regular" w:hAnsi="Times New Roman Regular" w:cs="Times New Roman Regular"/>
          <w:color w:val="0000FF"/>
        </w:rPr>
        <w:t>while</w:t>
      </w:r>
      <w:r>
        <w:rPr>
          <w:rFonts w:hint="default" w:ascii="Times New Roman Regular" w:hAnsi="Times New Roman Regular" w:cs="Times New Roman Regular"/>
          <w:color w:val="0000FF"/>
          <w:lang w:val="en-US"/>
        </w:rPr>
        <w:t>,</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intense evaporation in the dry season leads to the accumulation of nitrate in shallow aquifers, where concentrations can exceed the US EPA drinking water standard of 10 mg</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L</w:t>
      </w:r>
      <w:r>
        <w:rPr>
          <w:rFonts w:hint="default" w:ascii="Times New Roman Regular" w:hAnsi="Times New Roman Regular" w:cs="Times New Roman Regular"/>
          <w:color w:val="0000FF"/>
          <w:vertAlign w:val="superscript"/>
          <w:lang w:val="en-US"/>
        </w:rPr>
        <w:t>-1</w:t>
      </w:r>
      <w:r>
        <w:rPr>
          <w:rFonts w:hint="eastAsia" w:ascii="Times New Roman Regular" w:hAnsi="Times New Roman Regular" w:cs="Times New Roman Regular"/>
          <w:color w:val="0000FF"/>
        </w:rPr>
        <w:t xml:space="preserve"> by 2</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3 times</w:t>
      </w:r>
      <w:r>
        <w:rPr>
          <w:rFonts w:ascii="Times New Roman Regular" w:hAnsi="Times New Roman Regular" w:cs="Times New Roman Regular"/>
          <w:color w:val="0000FF"/>
        </w:rPr>
        <w:t xml:space="preserve"> (Liu et al., 2025</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Cox</w:t>
      </w:r>
      <w:r>
        <w:rPr>
          <w:rFonts w:hint="default" w:ascii="Times New Roman Regular" w:hAnsi="Times New Roman Regular" w:cs="Times New Roman Regular"/>
          <w:color w:val="0000FF"/>
          <w:lang w:val="en-US"/>
        </w:rPr>
        <w:t xml:space="preserve"> et al., 2016</w:t>
      </w:r>
      <w:r>
        <w:rPr>
          <w:rFonts w:ascii="Times New Roman Regular" w:hAnsi="Times New Roman Regular" w:cs="Times New Roman Regular"/>
          <w:color w:val="0000FF"/>
        </w:rPr>
        <w:t>). These seasonal differences result in distinct hydrochemical characteristics and nitrate concentration distributions, increasing the complexity of prediction models (Wu et al., 2025). Third, even advanced machine learning (ML) techniques such as Random Forest (RF), despite their robustness to nonlinearity and multicollinearity, still rely heavily on sufficient representative samples to capture the multi-modal distribution and tail behavior of environmental variables, particularly for heavy-tailed pollutants like 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(Luo et al., 2022). Moreover, the small sample sizes obtained from discrete sampling often lead to data sparsity and skewed distributions, </w:t>
      </w:r>
      <w:r>
        <w:rPr>
          <w:rFonts w:hint="eastAsia" w:ascii="Times New Roman Regular" w:hAnsi="Times New Roman Regular" w:cs="Times New Roman Regular"/>
          <w:color w:val="0000FF"/>
        </w:rPr>
        <w:t>reducing the model's generalization ability by 30%</w:t>
      </w:r>
      <w:r>
        <w:rPr>
          <w:rFonts w:hint="eastAsia"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rPr>
        <w:t>50% when applied to unmonitored areas</w:t>
      </w:r>
      <w:r>
        <w:rPr>
          <w:rFonts w:hint="eastAsia" w:ascii="Times New Roman Regular" w:hAnsi="Times New Roman Regular" w:cs="Times New Roman Regular"/>
          <w:color w:val="0000FF"/>
          <w:lang w:val="en-US" w:eastAsia="zh-CN"/>
        </w:rPr>
        <w:t xml:space="preserve"> and </w:t>
      </w:r>
      <w:r>
        <w:rPr>
          <w:rFonts w:ascii="Times New Roman Regular" w:hAnsi="Times New Roman Regular" w:cs="Times New Roman Regular"/>
          <w:color w:val="0000FF"/>
        </w:rPr>
        <w:t>compromising the robustness and generalization ability of machine learning (ML) models trained on such data (</w:t>
      </w:r>
      <w:r>
        <w:rPr>
          <w:rFonts w:hint="default" w:ascii="Times New Roman Regular" w:hAnsi="Times New Roman Regular" w:cs="Times New Roman Regular"/>
          <w:color w:val="0000FF"/>
        </w:rPr>
        <w:t>Thunyawatcharakul</w:t>
      </w:r>
      <w:r>
        <w:rPr>
          <w:rFonts w:hint="default" w:ascii="Times New Roman Regular" w:hAnsi="Times New Roman Regular" w:cs="Times New Roman Regular"/>
          <w:color w:val="0000FF"/>
          <w:lang w:val="en-US"/>
        </w:rPr>
        <w:t xml:space="preserve"> et al., 2025; </w:t>
      </w:r>
      <w:r>
        <w:rPr>
          <w:rFonts w:ascii="Times New Roman Regular" w:hAnsi="Times New Roman Regular" w:cs="Times New Roman Regular"/>
          <w:color w:val="0000FF"/>
        </w:rPr>
        <w:t>Wang et al., 2024).</w:t>
      </w:r>
      <w:bookmarkEnd w:id="0"/>
    </w:p>
    <w:p w14:paraId="193B1032">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Despite these recognized limitations of conventional approaches, existing solutions remain fragmented and insufficient for seasonal groundwater nitrate prediction. Specifically, current virtual sample generation methods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whether statistical (e.g., SMOTE, GMM) or deep learning-based (e.g., VAEs, GANs)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suffer from a critical paradox: they either fail to preserve the complex non-linear manifold structure of high-dimensional geochemical data or inherently require large training datasets that are unavailable in typical environmental monitoring scenarios (Farnia et al., 2023; Tung et al., 2023; Zhou et al., 2025). Meanwhile, while remote sensing foundation models such as Google's AlphaEarth Foundation (AEF) have demonstrated success in surface parameter estimation, their applicability to subsurface groundwater quality prediction, particularly for dynamic seasonal modeling, remains entirely untested (Tollefson, 2025; Li et al., 2025). Furthermore, although quantum machine learning (QML) theoretically offers advantages in capturing complex non-linear relationships through exponentially high-dimensional Hilbert space mapping, its practical efficacy in small-sample environmental datasets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especially when hybridized with classical ensemble methods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has not been systematically evaluated (Hong et al., 2025; Oliveira et al., 2025). Consequently, no existing framework simultaneously addresses the triple challenge of data sparsity, seasonal heterogeneity, and high-dimensional feature extraction for groundwater nitrate forecasting.</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To bridge these gaps, this study integrates three emerging methodological frontiers: advanced virtual sample generation, remote sensing foundation models, and quantum-enhanced machine learning. Recent advances in these domains offer partial solutions</w:t>
      </w:r>
      <w:r>
        <w:rPr>
          <w:rFonts w:ascii="Times New Roman Regular" w:hAnsi="Times New Roman Regular" w:cs="Times New Roman Regular"/>
          <w:color w:val="0000FF"/>
        </w:rPr>
        <w:t>. Gaussian Mixture Models (GMM) and deep generative frameworks (e.g., VAEs, GANs) have shown promise in enriching training data</w:t>
      </w:r>
      <w:r>
        <w:rPr>
          <w:rFonts w:hint="default" w:ascii="Times New Roman Regular" w:hAnsi="Times New Roman Regular" w:cs="Times New Roman Regular"/>
          <w:color w:val="0000FF"/>
          <w:lang w:val="en-US"/>
        </w:rPr>
        <w:t>, with GMM achieving an average similarity of 83.0% between unmixed chemical spectra and ground truth in geochemical analysis</w:t>
      </w:r>
      <w:r>
        <w:rPr>
          <w:rFonts w:ascii="Times New Roman Regular" w:hAnsi="Times New Roman Regular" w:cs="Times New Roman Regular"/>
          <w:color w:val="0000FF"/>
        </w:rPr>
        <w:t xml:space="preserve"> (Farnia et al., 2023</w:t>
      </w:r>
      <w:r>
        <w:rPr>
          <w:rFonts w:hint="default" w:ascii="Times New Roman Regular" w:hAnsi="Times New Roman Regular" w:cs="Times New Roman Regular"/>
          <w:color w:val="0000FF"/>
          <w:lang w:val="en-US"/>
        </w:rPr>
        <w:t>;</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Tung</w:t>
      </w:r>
      <w:r>
        <w:rPr>
          <w:rFonts w:hint="default" w:ascii="Times New Roman Regular" w:hAnsi="Times New Roman Regular" w:cs="Times New Roman Regular"/>
          <w:color w:val="0000FF"/>
          <w:lang w:val="en-US"/>
        </w:rPr>
        <w:t xml:space="preserve"> et al., 2023</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yet these approaches exhibit critical constraints</w:t>
      </w:r>
      <w:r>
        <w:rPr>
          <w:rFonts w:hint="default" w:ascii="Times New Roman Regular" w:hAnsi="Times New Roman Regular" w:cs="Times New Roman Regular"/>
          <w:color w:val="0000FF"/>
          <w:lang w:val="en-US"/>
        </w:rPr>
        <w:t>:</w:t>
      </w:r>
      <w:r>
        <w:rPr>
          <w:rFonts w:ascii="Times New Roman Regular" w:hAnsi="Times New Roman Regular" w:cs="Times New Roman Regular"/>
          <w:color w:val="0000FF"/>
        </w:rPr>
        <w:t xml:space="preserve"> they often fail to preserve the non-linear manifold structure of high-dimensional geochemical space or require large training sets, precisely what is lacking (Zhou et al., 2025). Non-linear dimensionality reduction methods, such as t-SNE, excel at revealing latent clusters corresponding to distinct hydrological processes, </w:t>
      </w:r>
      <w:r>
        <w:rPr>
          <w:rFonts w:hint="eastAsia" w:ascii="Times New Roman Regular" w:hAnsi="Times New Roman Regular" w:cs="Times New Roman Regular"/>
          <w:color w:val="0000FF"/>
        </w:rPr>
        <w:t>with a classification accuracy of 92% for annual daily hydrograph clustering in mountainous watersheds,</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yet lack explicit generative mechanisms (Wang et al., 2025</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Tang</w:t>
      </w:r>
      <w:r>
        <w:rPr>
          <w:rFonts w:hint="default" w:ascii="Times New Roman Regular" w:hAnsi="Times New Roman Regular" w:cs="Times New Roman Regular"/>
          <w:color w:val="0000FF"/>
          <w:lang w:val="en-US"/>
        </w:rPr>
        <w:t xml:space="preserve"> et al., 2022</w:t>
      </w:r>
      <w:r>
        <w:rPr>
          <w:rFonts w:ascii="Times New Roman Regular" w:hAnsi="Times New Roman Regular" w:cs="Times New Roman Regular"/>
          <w:color w:val="0000FF"/>
        </w:rPr>
        <w:t xml:space="preserve">). Meanwhile, the rise of foundation models in Earth observation exemplified by Google’s AlphaEarth Foundation (AEF), offers unprecedented opportunities: its 64-dimensional semantic embeddings, derived from multi-sensor satellite time series (including Sentinel-2, Landsat, and Sentinel-1), implicitly encode land use, vegetation phenology, soil moisture, and anthropogenic footprints at 10 m resolution (Tollefson, 2025). These features have been successfully applied in land use classification and crop monitoring, but their potential for predicting groundwater nitrate concentrations, especially across different hydrological seasons remains underexplored (Li et al., 2025). Quantum machine learning (QML) further opens a new frontier. Parameterized Quantum Circuits (PQCs) can map classical inputs into exponentially high-dimensional quantum Hilbert spaces, generating entangled feature representations that reveal complex, non-linear patterns inaccessible to classical kernels (Hong et al., 2025). </w:t>
      </w:r>
      <w:r>
        <w:rPr>
          <w:rFonts w:hint="eastAsia" w:ascii="Times New Roman Regular" w:hAnsi="Times New Roman Regular" w:cs="Times New Roman Regular"/>
          <w:color w:val="0000FF"/>
        </w:rPr>
        <w:t>For ozone concentration forecasting, a hybrid QML model achieved an R</w:t>
      </w:r>
      <w:r>
        <w:rPr>
          <w:rFonts w:hint="default" w:ascii="Times New Roman Regular" w:hAnsi="Times New Roman Regular" w:cs="Times New Roman Regular"/>
          <w:color w:val="0000FF"/>
          <w:vertAlign w:val="superscript"/>
          <w:lang w:val="en-US"/>
        </w:rPr>
        <w:t>2</w:t>
      </w:r>
      <w:r>
        <w:rPr>
          <w:rFonts w:hint="eastAsia" w:ascii="Times New Roman Regular" w:hAnsi="Times New Roman Regular" w:cs="Times New Roman Regular"/>
          <w:color w:val="0000FF"/>
        </w:rPr>
        <w:t xml:space="preserve"> of 94.12% for 1-hour forecasts and 75.62% for 6-hour forecasts, outperforming classical persistence models by a forecast skill of 31.01</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57.46% (</w:t>
      </w:r>
      <w:r>
        <w:rPr>
          <w:rFonts w:hint="default" w:ascii="Times New Roman Regular" w:hAnsi="Times New Roman Regular" w:cs="Times New Roman Regular"/>
          <w:color w:val="0000FF"/>
        </w:rPr>
        <w:t>Oliveira</w:t>
      </w:r>
      <w:r>
        <w:rPr>
          <w:rFonts w:hint="default" w:ascii="Times New Roman Regular" w:hAnsi="Times New Roman Regular" w:cs="Times New Roman Regular"/>
          <w:color w:val="0000FF"/>
          <w:lang w:val="en-US"/>
        </w:rPr>
        <w:t xml:space="preserve"> et al.</w:t>
      </w:r>
      <w:r>
        <w:rPr>
          <w:rFonts w:hint="eastAsia" w:ascii="Times New Roman Regular" w:hAnsi="Times New Roman Regular" w:cs="Times New Roman Regular"/>
          <w:color w:val="0000FF"/>
        </w:rPr>
        <w:t xml:space="preserve">, 2025). Recently, </w:t>
      </w:r>
      <w:r>
        <w:rPr>
          <w:rFonts w:hint="eastAsia" w:ascii="Times New Roman Regular" w:hAnsi="Times New Roman Regular" w:cs="Times New Roman Regular"/>
          <w:color w:val="0000FF"/>
        </w:rPr>
        <w:t>Saberian et al. (2026) developed HydroQuantum, a quantum-driven Python package implementing Quantum LSTM (QLSTM), hybrid quantum-classical LSTM, and Variational Quantum Circuits (VQC) for daily streamflow and stream water temperature simulations across the continental US. Their work demonstrated that quantum-enhanced architectures can effectively capture temporal dependencies in hydrological time series, particularly in snowmelt-driven and regulated basins, providing valuable methodological context for quantum-driven hydrological modeling.</w:t>
      </w:r>
      <w:r>
        <w:rPr>
          <w:rFonts w:hint="eastAsia"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color w:val="0000FF"/>
        </w:rPr>
        <w:t>Crucially, analytical quantum feature extraction via Pauli-Z expectation values avoids the noisy sampling overhead of near-term quantum hardware, reducing computational latency by ~80% compared to sampling-based methods and making it viable for small-sample environmental modeling</w:t>
      </w:r>
      <w:r>
        <w:rPr>
          <w:rFonts w:ascii="Times New Roman Regular" w:hAnsi="Times New Roman Regular" w:cs="Times New Roman Regular"/>
          <w:color w:val="0000FF"/>
        </w:rPr>
        <w:t xml:space="preserve"> (Gujju et al., 2024</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Oliveira</w:t>
      </w:r>
      <w:r>
        <w:rPr>
          <w:rFonts w:hint="default" w:ascii="Times New Roman Regular" w:hAnsi="Times New Roman Regular" w:cs="Times New Roman Regular"/>
          <w:color w:val="0000FF"/>
          <w:lang w:val="en-US"/>
        </w:rPr>
        <w:t xml:space="preserve"> et al.</w:t>
      </w:r>
      <w:r>
        <w:rPr>
          <w:rFonts w:hint="eastAsia" w:ascii="Times New Roman Regular" w:hAnsi="Times New Roman Regular" w:cs="Times New Roman Regular"/>
          <w:color w:val="0000FF"/>
        </w:rPr>
        <w:t>, 2025</w:t>
      </w:r>
      <w:r>
        <w:rPr>
          <w:rFonts w:ascii="Times New Roman Regular" w:hAnsi="Times New Roman Regular" w:cs="Times New Roman Regular"/>
          <w:color w:val="0000FF"/>
        </w:rPr>
        <w:t>).</w:t>
      </w:r>
    </w:p>
    <w:p w14:paraId="3C31F872">
      <w:pPr>
        <w:spacing w:line="300" w:lineRule="auto"/>
        <w:ind w:firstLine="420"/>
        <w:rPr>
          <w:rFonts w:hint="eastAsia" w:ascii="Times New Roman Regular" w:hAnsi="Times New Roman Regular" w:cs="Times New Roman Regular"/>
          <w:color w:val="0000FF"/>
        </w:rPr>
      </w:pPr>
      <w:r>
        <w:rPr>
          <w:rFonts w:ascii="Times New Roman Regular" w:hAnsi="Times New Roman Regular" w:cs="Times New Roman Regular"/>
          <w:color w:val="0000FF"/>
        </w:rPr>
        <w:t>Furthermore, identifying the sources and controlling factors of nitrate pollution is crucial for improving prediction accuracy and guiding targeted pollution control measures. Isotopic analysis (δ</w:t>
      </w:r>
      <w:r>
        <w:rPr>
          <w:rFonts w:ascii="Times New Roman Regular" w:hAnsi="Times New Roman Regular" w:cs="Times New Roman Regular"/>
          <w:color w:val="0000FF"/>
          <w:vertAlign w:val="superscript"/>
        </w:rPr>
        <w:t>15</w:t>
      </w:r>
      <w:r>
        <w:rPr>
          <w:rFonts w:ascii="Times New Roman Regular" w:hAnsi="Times New Roman Regular" w:cs="Times New Roman Regular"/>
          <w:color w:val="0000FF"/>
        </w:rPr>
        <w:t>N-NO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and δ</w:t>
      </w:r>
      <w:r>
        <w:rPr>
          <w:rFonts w:ascii="Times New Roman Regular" w:hAnsi="Times New Roman Regular" w:cs="Times New Roman Regular"/>
          <w:color w:val="0000FF"/>
          <w:vertAlign w:val="superscript"/>
        </w:rPr>
        <w:t>18</w:t>
      </w:r>
      <w:r>
        <w:rPr>
          <w:rFonts w:ascii="Times New Roman Regular" w:hAnsi="Times New Roman Regular" w:cs="Times New Roman Regular"/>
          <w:color w:val="0000FF"/>
        </w:rPr>
        <w:t>O-NO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combined with the MixSIAR model has proven effective in quantitatively apportioning nitrate sources (Tian et al., 2025). Meanwhile, Bayesian models and SHapley Additive exPlanations (SHAP) analysis can reveal the key environmental variables driving nitrate concentration changes, enhancing the interpretability of prediction models (Alam et al., 2025). Despite these advancements, several gaps persist in the current research: (1) Few studies have integrated hybrid quantum-classical ML with virtual sample augmentation to address small-sample challenges in seasonal nitrate prediction; (2) The potential of AEF remote sensing semantic features for groundwater nitrate prediction remains untested, particularly in comparison with in-situ measured parameters; (3) The combined effects of hydrological seasonal variations, nitrate source apportionment, and key environmental drivers on prediction model performance require systematic investigation.</w:t>
      </w:r>
      <w:r>
        <w:rPr>
          <w:rFonts w:hint="eastAsia" w:ascii="Times New Roman Regular" w:hAnsi="Times New Roman Regular" w:cs="Times New Roman Regular"/>
          <w:color w:val="0000FF"/>
        </w:rPr>
        <w:t xml:space="preserve"> </w:t>
      </w:r>
    </w:p>
    <w:p w14:paraId="222D62FC">
      <w:pPr>
        <w:spacing w:line="300" w:lineRule="auto"/>
        <w:ind w:firstLine="420"/>
        <w:rPr>
          <w:rFonts w:hint="eastAsia"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rPr>
        <w:t>The North China Plain, an important agricultural production region in China, is characterized by high nitrogen input intensity and significant seasonal hydrological variations, making it an area prone to groundwater nitrate pollution</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Liu</w:t>
      </w:r>
      <w:r>
        <w:rPr>
          <w:rFonts w:hint="default" w:ascii="Times New Roman Regular" w:hAnsi="Times New Roman Regular" w:cs="Times New Roman Regular"/>
          <w:color w:val="0000FF"/>
          <w:lang w:val="en-US"/>
        </w:rPr>
        <w:t xml:space="preserve"> et al., 2025; </w:t>
      </w:r>
      <w:r>
        <w:rPr>
          <w:rFonts w:hint="default" w:ascii="Times New Roman Regular" w:hAnsi="Times New Roman Regular" w:cs="Times New Roman Regular"/>
          <w:color w:val="0000FF"/>
          <w:lang w:val="en-US" w:eastAsia="zh-CN"/>
        </w:rPr>
        <w:t>Hou et al., 2025</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Conducting field-scale research on nitrate pollution in this region is of great significance for the protection of regional water resources</w:t>
      </w:r>
      <w:r>
        <w:rPr>
          <w:rFonts w:hint="default" w:ascii="Times New Roman Regular" w:hAnsi="Times New Roman Regular" w:cs="Times New Roman Regular"/>
          <w:color w:val="0000FF"/>
          <w:lang w:val="en-US"/>
        </w:rPr>
        <w:t>. The Xiong’an New Area was specifically selected as the core study site due to its unique combination of national strategic ecological importance, representative hydrogeological conditions, and severe pollution characteristics that exemplify regional challenges. Quantitatively, Hebei Province reported a groundwater nitrate exceedance rate of 31.66% in 2017, significantly higher than the national average, with Xiong'an situated in the heart of this high-risk zone (</w:t>
      </w:r>
      <w:r>
        <w:rPr>
          <w:rFonts w:hint="default" w:ascii="Times New Roman Regular" w:hAnsi="Times New Roman Regular" w:cs="Times New Roman Regular"/>
          <w:color w:val="0000FF"/>
          <w:lang w:val="en-US" w:eastAsia="zh-CN"/>
        </w:rPr>
        <w:t>Xiong et al., 2025</w:t>
      </w:r>
      <w:r>
        <w:rPr>
          <w:rFonts w:hint="default" w:ascii="Times New Roman Regular" w:hAnsi="Times New Roman Regular" w:cs="Times New Roman Regular"/>
          <w:color w:val="0000FF"/>
          <w:lang w:val="en-US"/>
        </w:rPr>
        <w:t>). Furthermore, the study site represents a typical high-intensity agricultural system with annual nitrogen inputs ranging from 540 to 660 kg N ha</w:t>
      </w:r>
      <w:r>
        <w:rPr>
          <w:rFonts w:hint="default" w:ascii="Times New Roman Regular" w:hAnsi="Times New Roman Regular" w:cs="Times New Roman Regular"/>
          <w:color w:val="0000FF"/>
          <w:vertAlign w:val="superscript"/>
          <w:lang w:val="en-US"/>
        </w:rPr>
        <w:t>-1</w:t>
      </w:r>
      <w:r>
        <w:rPr>
          <w:rFonts w:hint="default" w:ascii="Times New Roman Regular" w:hAnsi="Times New Roman Regular" w:cs="Times New Roman Regular"/>
          <w:color w:val="0000FF"/>
          <w:lang w:val="en-US"/>
        </w:rPr>
        <w:t>, coupled with a shallow groundwater table (5.0-20.0</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rPr>
        <w:t>m) highly susceptible to surface loading (</w:t>
      </w:r>
      <w:r>
        <w:rPr>
          <w:rFonts w:hint="default" w:ascii="Times New Roman Regular" w:hAnsi="Times New Roman Regular" w:cs="Times New Roman Regular"/>
          <w:color w:val="0000FF"/>
          <w:lang w:val="en-US" w:eastAsia="zh-CN"/>
        </w:rPr>
        <w:t>Xu et al., 2022</w:t>
      </w:r>
      <w:r>
        <w:rPr>
          <w:rFonts w:hint="default" w:ascii="Times New Roman Regular" w:hAnsi="Times New Roman Regular" w:cs="Times New Roman Regular"/>
          <w:color w:val="0000FF"/>
          <w:lang w:val="en-US"/>
        </w:rPr>
        <w:t>). Moreover, existing investigations reveal severe anthropogenic impacts including legacy nitrogen accumulation (~320 kg N ha</w:t>
      </w:r>
      <w:r>
        <w:rPr>
          <w:rFonts w:hint="default" w:ascii="Times New Roman Regular" w:hAnsi="Times New Roman Regular" w:cs="Times New Roman Regular"/>
          <w:color w:val="0000FF"/>
          <w:vertAlign w:val="superscript"/>
          <w:lang w:val="en-US"/>
        </w:rPr>
        <w:t>-1</w:t>
      </w:r>
      <w:r>
        <w:rPr>
          <w:rFonts w:hint="default" w:ascii="Times New Roman Regular" w:hAnsi="Times New Roman Regular" w:cs="Times New Roman Regular"/>
          <w:color w:val="0000FF"/>
          <w:lang w:val="en-US"/>
        </w:rPr>
        <w:t xml:space="preserve"> a</w:t>
      </w:r>
      <w:r>
        <w:rPr>
          <w:rFonts w:hint="default" w:ascii="Times New Roman Regular" w:hAnsi="Times New Roman Regular" w:cs="Times New Roman Regular"/>
          <w:color w:val="0000FF"/>
          <w:vertAlign w:val="superscript"/>
          <w:lang w:val="en-US"/>
        </w:rPr>
        <w:t>-1</w:t>
      </w:r>
      <w:r>
        <w:rPr>
          <w:rFonts w:hint="default" w:ascii="Times New Roman Regular" w:hAnsi="Times New Roman Regular" w:cs="Times New Roman Regular"/>
          <w:color w:val="0000FF"/>
          <w:lang w:val="en-US"/>
        </w:rPr>
        <w:t xml:space="preserve"> surplus) and sewage irrigation contributing up to 58.3% of groundwater chemical signatures. This setting provides an ideal natural laboratory for testing seasonal prediction frameworks, as the distinct monsoonal climate (60%-80% precipitation concentrated in summer) creates pronounced hydrochemical contrasts between dry, wet, and normal seasons, directly challenging model robustness under data sparsity.</w:t>
      </w:r>
      <w:r>
        <w:rPr>
          <w:rFonts w:ascii="Times New Roman Regular" w:hAnsi="Times New Roman Regular" w:cs="Times New Roman Regular"/>
          <w:color w:val="0000FF"/>
        </w:rPr>
        <w:t xml:space="preserve"> (Xu et al., 2022)</w:t>
      </w:r>
      <w:r>
        <w:rPr>
          <w:rFonts w:hint="eastAsia" w:ascii="Times New Roman Regular" w:hAnsi="Times New Roman Regular" w:cs="Times New Roman Regular"/>
          <w:color w:val="0000FF"/>
        </w:rPr>
        <w:t>. A mechanistic understanding of how nitrate concentrations vary across these hydrological seasons (normal, dry, wet) and their controlling factors is crucial for regional water resource management.</w:t>
      </w:r>
      <w:r>
        <w:rPr>
          <w:rFonts w:hint="eastAsia" w:ascii="Times New Roman Regular" w:hAnsi="Times New Roman Regular" w:cs="Times New Roman Regular"/>
          <w:color w:val="0000FF"/>
          <w:lang w:val="en-US" w:eastAsia="zh-CN"/>
        </w:rPr>
        <w:t xml:space="preserve"> To address the critical gaps outlined above, this study establishes three clear objectives: (1) to develop a t-SNE-GMM-KNN virtual sample generation strategy that preserves geochemical manifold structure while expanding small datasets for robust seasonal modeling; (2) to construct a hybrid quantum-classical Random Forest architecture that enhances feature discriminability without quantum hardware limitations, specifically targeting the high variability and data scarcity characteristic of dry-season nitrate prediction; and (3) to evaluate the feasibility of AlphaEarth Foundation (AEF) semantic embeddings as standalone predictors for rapid groundwater nitrate screening in unmonitored regions. The relevance of this research lies in its provision of a unified methodological framework that transcends single-site application, offering a scalable solution for seasonal groundwater quality prediction in intensively managed agricultural landscapes worldwide. Practically, the results enable three distinct operational modes: (i) mechanistic analysis using field-measurable parameters (pH, EC, TDS, etc.) to elucidate hydrochemical driving processes; (ii) rapid on-site nitrate estimation using portable multi-parameter meters when laboratory analysis is unavailable; and (iii) large-scale regional risk assessment using remote sensing embeddings for areas lacking monitoring infrastructure. By distinguishing between these application scenarios, the framework provides actionable decision-support tools for water resource managers to implement targeted pollution control measures, optimize monitoring network design, and prioritize remediation efforts across hydrological seasons.</w:t>
      </w:r>
    </w:p>
    <w:p w14:paraId="0A718398">
      <w:pPr>
        <w:spacing w:line="300" w:lineRule="auto"/>
        <w:ind w:firstLine="420"/>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Compared with existing research on groundwater quality prediction based on multiple ML algorithms</w:t>
      </w:r>
      <w:r>
        <w:rPr>
          <w:rFonts w:hint="default" w:ascii="Times New Roman Regular" w:hAnsi="Times New Roman Regular" w:cs="Times New Roman Regular"/>
          <w:color w:val="0000FF"/>
          <w:lang w:val="en-US"/>
        </w:rPr>
        <w:t xml:space="preserve"> and large datasets, the novelty of this paper lies in three aspects:</w:t>
      </w:r>
      <w:r>
        <w:rPr>
          <w:rFonts w:hint="default" w:ascii="Times New Roman Regular" w:hAnsi="Times New Roman Regular" w:cs="Times New Roman Regular"/>
          <w:color w:val="0000FF"/>
        </w:rPr>
        <w:t xml:space="preserve"> (1) the t-SNE-GMM-KNN strategy preserves the non-linear manifold structure of high-dimensional geochemical space during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(2) we systematically explore the application of hybrid quantum-classical machine learning in groundwater quality prediction, evaluating its robustness and feature discriminability in small-sample seasonal dynamics; and (3) we conduct a comparative analysis of prediction performance using traditional field observation data versus the first-time application of AlphaEarth Foundation (AEF) semantic embeddings for nitrate estimation.</w:t>
      </w:r>
    </w:p>
    <w:p w14:paraId="19C7305C">
      <w:pPr>
        <w:spacing w:line="300" w:lineRule="auto"/>
        <w:ind w:firstLine="420"/>
        <w:rPr>
          <w:rFonts w:hint="default" w:ascii="Times New Roman Regular" w:hAnsi="Times New Roman Regular" w:cs="Times New Roman Regular"/>
          <w:color w:val="0000FF"/>
          <w:lang w:val="en-US" w:eastAsia="zh-CN"/>
        </w:rPr>
      </w:pPr>
    </w:p>
    <w:p w14:paraId="7BFAAE87">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p>
    <w:p w14:paraId="7785685F">
      <w:pPr>
        <w:keepNext w:val="0"/>
        <w:keepLines w:val="0"/>
        <w:pageBreakBefore w:val="0"/>
        <w:widowControl w:val="0"/>
        <w:numPr>
          <w:ilvl w:val="0"/>
          <w:numId w:val="1"/>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Page 3, Lines 5–30. The study area description is descriptive but lacks quantitative justification. For example, No map scale or resolution information is provided. Climatic or hydrological statistics are not sufficiently summarized. The selection rationale for this site is weak.</w:t>
      </w:r>
    </w:p>
    <w:p w14:paraId="6FAC89C3">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I suggest authors will include a detailed map with coordinate system and scale. A table summarizing key environmental variables. A clear explanation of why this site is scientifically significant.</w:t>
      </w:r>
    </w:p>
    <w:p w14:paraId="4066C64F">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p>
    <w:p w14:paraId="4533831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 xml:space="preserve">We appreciate </w:t>
      </w:r>
      <w:r>
        <w:rPr>
          <w:rFonts w:hint="default" w:ascii="Times New Roman Regular" w:hAnsi="Times New Roman Regular" w:cs="Times New Roman Regular"/>
          <w:color w:val="0000FF"/>
          <w:lang w:val="en-US" w:eastAsia="zh-CN"/>
        </w:rPr>
        <w:t xml:space="preserve">these </w:t>
      </w:r>
      <w:r>
        <w:rPr>
          <w:rFonts w:hint="default" w:ascii="Times New Roman Regular" w:hAnsi="Times New Roman Regular" w:cs="Times New Roman Regular" w:eastAsiaTheme="minorEastAsia"/>
          <w:color w:val="0000FF"/>
          <w:lang w:val="en-US" w:eastAsia="zh-CN"/>
        </w:rPr>
        <w:t>valuable suggestion</w:t>
      </w:r>
      <w:r>
        <w:rPr>
          <w:rFonts w:hint="default" w:ascii="Times New Roman Regular" w:hAnsi="Times New Roman Regular" w:cs="Times New Roman Regular"/>
          <w:color w:val="0000FF"/>
          <w:lang w:val="en-US" w:eastAsia="zh-CN"/>
        </w:rPr>
        <w:t>s</w:t>
      </w:r>
      <w:r>
        <w:rPr>
          <w:rFonts w:hint="default" w:ascii="Times New Roman Regular" w:hAnsi="Times New Roman Regular" w:cs="Times New Roman Regular" w:eastAsiaTheme="minorEastAsia"/>
          <w:color w:val="0000FF"/>
          <w:lang w:val="en-US" w:eastAsia="zh-CN"/>
        </w:rPr>
        <w:t>. We have revised Figure 1 to include detailed cartographic information.</w:t>
      </w:r>
    </w:p>
    <w:p w14:paraId="3FFB708F">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p>
    <w:p w14:paraId="713CC977">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eastAsiaTheme="minorEastAsia"/>
          <w:color w:val="0000FF"/>
          <w:lang w:val="en-US" w:eastAsia="zh-CN"/>
        </w:rPr>
        <w:t>We agree that a concise summary of key climatic and hydrological variables enhances the reproducibility and contextual clarity of our study.</w:t>
      </w:r>
      <w:r>
        <w:rPr>
          <w:rFonts w:hint="default" w:ascii="Times New Roman Regular" w:hAnsi="Times New Roman Regular" w:cs="Times New Roman Regular"/>
          <w:color w:val="0000FF"/>
          <w:lang w:val="en-US" w:eastAsia="zh-CN"/>
        </w:rPr>
        <w:t xml:space="preserve"> In response, we have added a new table (Table 1) in Section 2.1 "Study area" that systematically summarizes:</w:t>
      </w:r>
    </w:p>
    <w:p w14:paraId="1D144C9C">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(1) Climatic statistics (temperature, precipitation, evaporation, sunshine, and wind);</w:t>
      </w:r>
    </w:p>
    <w:p w14:paraId="72EA06E0">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(2) Soil and vadose zone characteristics relevant to nitrogen transport;</w:t>
      </w:r>
    </w:p>
    <w:p w14:paraId="7713BEE7">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(3)</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Groundwater system parameters (aquifer type, water table depth, recharge/discharge mechanisms).</w:t>
      </w:r>
    </w:p>
    <w:p w14:paraId="4BF93D7C">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p>
    <w:p w14:paraId="6077FB2C">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agree that the original manuscript provided a primarily descriptive overview of the study area without sufficiently quantifying the rationale for site selection or its specific scientific significance.</w:t>
      </w:r>
    </w:p>
    <w:p w14:paraId="018DEAE1">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To address this, we have revised the Introduction section to explicitly justify the selection of the Xiong’an New Area based on quantitative indicators and strategic relevance. Specifically, we have added the following details: We highlighted that Hebei Province reported a groundwater nitrate exceedance rate of 31.66% in 2017, significantly higher than the national average, positioning Xiong’an within a critical high-risk zone. We specified the annual nitrogen input rates (540-660 kg N ha</w:t>
      </w:r>
      <w:r>
        <w:rPr>
          <w:rFonts w:hint="default" w:ascii="Times New Roman Regular" w:hAnsi="Times New Roman Regular" w:cs="Times New Roman Regular"/>
          <w:color w:val="0000FF"/>
          <w:vertAlign w:val="superscript"/>
          <w:lang w:val="en-US" w:eastAsia="zh-CN"/>
        </w:rPr>
        <w:t>-1</w:t>
      </w:r>
      <w:r>
        <w:rPr>
          <w:rFonts w:hint="default" w:ascii="Times New Roman Regular" w:hAnsi="Times New Roman Regular" w:cs="Times New Roman Regular"/>
          <w:color w:val="0000FF"/>
          <w:lang w:val="en-US" w:eastAsia="zh-CN"/>
        </w:rPr>
        <w:t xml:space="preserve"> yr</w:t>
      </w:r>
      <w:r>
        <w:rPr>
          <w:rFonts w:hint="default" w:ascii="Times New Roman Regular" w:hAnsi="Times New Roman Regular" w:cs="Times New Roman Regular"/>
          <w:color w:val="0000FF"/>
          <w:vertAlign w:val="superscript"/>
          <w:lang w:val="en-US" w:eastAsia="zh-CN"/>
        </w:rPr>
        <w:t>-1</w:t>
      </w:r>
      <w:r>
        <w:rPr>
          <w:rFonts w:hint="default" w:ascii="Times New Roman Regular" w:hAnsi="Times New Roman Regular" w:cs="Times New Roman Regular"/>
          <w:color w:val="0000FF"/>
          <w:lang w:val="en-US" w:eastAsia="zh-CN"/>
        </w:rPr>
        <w:t>) and shallow groundwater table depth to demonstrate the site's susceptibility to pollution and its representativeness of intensive agricultural regions. We clarified that the distinct monsoonal climate (with 60%-80% precipitation concentrated in summer) creates pronounced seasonal hydrochemical contrasts, making it an ideal natural laboratory for testing the robustness of our proposed seasonal prediction framework under data sparsity.</w:t>
      </w:r>
    </w:p>
    <w:p w14:paraId="4EB22BC0">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These additions provide a stronger quantitative justification for the study site and clarify its scientific value for regional water management and methodological validation. Please see the revised Introduction section for these changes.</w:t>
      </w:r>
    </w:p>
    <w:p w14:paraId="37D5966F">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p>
    <w:p w14:paraId="735B271C">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4B277DB0">
      <w:pPr>
        <w:spacing w:line="300" w:lineRule="auto"/>
        <w:outlineLvl w:val="1"/>
        <w:rPr>
          <w:rFonts w:ascii="Times New Roman Regular" w:hAnsi="Times New Roman Regular" w:cs="Times New Roman Regular"/>
          <w:color w:val="0000FF"/>
        </w:rPr>
      </w:pPr>
      <w:r>
        <w:rPr>
          <w:rFonts w:ascii="Times New Roman Regular" w:hAnsi="Times New Roman Regular" w:cs="Times New Roman Regular"/>
          <w:color w:val="0000FF"/>
        </w:rPr>
        <w:t xml:space="preserve">2.1 </w:t>
      </w:r>
      <w:r>
        <w:rPr>
          <w:rFonts w:hint="eastAsia" w:ascii="Times New Roman Regular" w:hAnsi="Times New Roman Regular" w:cs="Times New Roman Regular"/>
          <w:color w:val="0000FF"/>
        </w:rPr>
        <w:t>Study area</w:t>
      </w:r>
    </w:p>
    <w:p w14:paraId="450D9AD6">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The North China Plain is one of China</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s most important agricultural production bases. This study focuses on the Xiong</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an New Area, situated in the central part of Hebei Province, as a representative research site within this plain. Located in the core region defined by Beijing, Tianjin, and Baoding, it boasts an advantageous geographical position, with straight-line distances of 105 km to both Beijing and Tianjin, and 30 km to Baoding</w:t>
      </w:r>
      <w:r>
        <w:rPr>
          <w:rFonts w:ascii="Times New Roman Regular" w:hAnsi="Times New Roman Regular" w:cs="Times New Roman Regular"/>
          <w:color w:val="0000FF"/>
        </w:rPr>
        <w:t>. Its geographical coordinates range from 38°43′ to 39°10′ N latitude and from 115°38′ to 116°20′ E longitude, covering an area of approximately 1770 km</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Xiong’an New Area Official Website, 2023).</w:t>
      </w:r>
      <w:r>
        <w:rPr>
          <w:rFonts w:hint="eastAsia" w:ascii="Times New Roman Regular" w:hAnsi="Times New Roman Regular" w:cs="Times New Roman Regular"/>
          <w:color w:val="0000FF"/>
        </w:rPr>
        <w:t xml:space="preserve"> The specific study area is</w:t>
      </w:r>
      <w:r>
        <w:rPr>
          <w:rFonts w:ascii="Times New Roman Regular" w:hAnsi="Times New Roman Regular" w:cs="Times New Roman Regular"/>
          <w:color w:val="0000FF"/>
        </w:rPr>
        <w:t xml:space="preserve"> an unmanned farm located in Xieyeqiao Village, Nanzhang Town, Rongcheng County, within the Xiong'an New Area (</w:t>
      </w:r>
      <w:r>
        <w:rPr>
          <w:rFonts w:ascii="Times New Roman Regular" w:hAnsi="Times New Roman Regular" w:cs="Times New Roman Regular"/>
          <w:color w:val="0000FF"/>
        </w:rPr>
        <w:t>Fig.1). The farm covers an area of 3000 hectares and primarily cultivates two main grain crops: wheat and corn. As the first mechanized unmanned farm in Xiong'an, it has achieved full mechanization and intellectualization, enabling unmanned, precise, and standardized operations throughout all stages of tillage, sowing, management, and harvesting.</w:t>
      </w:r>
    </w:p>
    <w:p w14:paraId="7BF38D44">
      <w:pPr>
        <w:spacing w:line="300" w:lineRule="auto"/>
        <w:rPr>
          <w:rFonts w:hint="default" w:ascii="Times New Roman Regular" w:hAnsi="Times New Roman Regular" w:cs="Times New Roman Regular"/>
          <w:color w:val="0000FF"/>
          <w:lang w:val="en-US"/>
        </w:rPr>
      </w:pPr>
      <w:r>
        <w:rPr>
          <w:color w:val="0000FF"/>
        </w:rPr>
        <w:drawing>
          <wp:inline distT="0" distB="0" distL="114300" distR="114300">
            <wp:extent cx="5269230" cy="3736340"/>
            <wp:effectExtent l="0" t="0" r="13970" b="22860"/>
            <wp:docPr id="3" name="图片 3" descr="采样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采样点"/>
                    <pic:cNvPicPr>
                      <a:picLocks noChangeAspect="1"/>
                    </pic:cNvPicPr>
                  </pic:nvPicPr>
                  <pic:blipFill>
                    <a:blip r:embed="rId5"/>
                    <a:stretch>
                      <a:fillRect/>
                    </a:stretch>
                  </pic:blipFill>
                  <pic:spPr>
                    <a:xfrm>
                      <a:off x="0" y="0"/>
                      <a:ext cx="5269230" cy="3736340"/>
                    </a:xfrm>
                    <a:prstGeom prst="rect">
                      <a:avLst/>
                    </a:prstGeom>
                  </pic:spPr>
                </pic:pic>
              </a:graphicData>
            </a:graphic>
          </wp:inline>
        </w:drawing>
      </w:r>
    </w:p>
    <w:p w14:paraId="3FFE0881">
      <w:pPr>
        <w:spacing w:line="300" w:lineRule="auto"/>
        <w:jc w:val="center"/>
        <w:rPr>
          <w:rFonts w:hint="eastAsia" w:ascii="Times New Roman Regular" w:hAnsi="Times New Roman Regular" w:cs="Times New Roman Regular"/>
          <w:color w:val="0000FF"/>
          <w:lang w:val="en-US" w:eastAsia="zh-CN"/>
        </w:rPr>
      </w:pPr>
      <w:r>
        <w:rPr>
          <w:rFonts w:ascii="Times New Roman Bold" w:hAnsi="Times New Roman Bold" w:cs="Times New Roman Bold"/>
          <w:b/>
          <w:bCs/>
          <w:color w:val="0000FF"/>
        </w:rPr>
        <w:t>Fig.1</w:t>
      </w:r>
      <w:r>
        <w:rPr>
          <w:rFonts w:ascii="Times New Roman Regular" w:hAnsi="Times New Roman Regular" w:cs="Times New Roman Regular"/>
          <w:color w:val="0000FF"/>
        </w:rPr>
        <w:t>. Study area map showing the sampling location</w:t>
      </w:r>
      <w:r>
        <w:rPr>
          <w:rFonts w:hint="eastAsia" w:ascii="Times New Roman Regular" w:hAnsi="Times New Roman Regular" w:cs="Times New Roman Regular"/>
          <w:color w:val="0000FF"/>
          <w:lang w:val="en-US" w:eastAsia="zh-CN"/>
        </w:rPr>
        <w:t xml:space="preserve"> and</w:t>
      </w:r>
      <w:r>
        <w:rPr>
          <w:rFonts w:hint="default" w:ascii="Times New Roman Regular" w:hAnsi="Times New Roman Regular" w:cs="Times New Roman Regular"/>
          <w:color w:val="0000FF"/>
          <w:lang w:val="en-US" w:eastAsia="zh-CN"/>
        </w:rPr>
        <w:t xml:space="preserve"> sampling points</w:t>
      </w:r>
      <w:r>
        <w:rPr>
          <w:rFonts w:hint="eastAsia" w:ascii="Times New Roman Regular" w:hAnsi="Times New Roman Regular" w:cs="Times New Roman Regular"/>
          <w:color w:val="0000FF"/>
          <w:lang w:val="en-US" w:eastAsia="zh-CN"/>
        </w:rPr>
        <w:t>.</w:t>
      </w:r>
    </w:p>
    <w:p w14:paraId="0121EA45">
      <w:pPr>
        <w:spacing w:line="300" w:lineRule="auto"/>
        <w:jc w:val="both"/>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drawing>
          <wp:inline distT="0" distB="0" distL="114300" distR="114300">
            <wp:extent cx="5262245" cy="2612390"/>
            <wp:effectExtent l="0" t="0" r="20955" b="3810"/>
            <wp:docPr id="21" name="图片 21" descr="Xiongan_Temperature_Precipitation_Tre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Xiongan_Temperature_Precipitation_Trends"/>
                    <pic:cNvPicPr>
                      <a:picLocks noChangeAspect="1"/>
                    </pic:cNvPicPr>
                  </pic:nvPicPr>
                  <pic:blipFill>
                    <a:blip r:embed="rId6"/>
                    <a:stretch>
                      <a:fillRect/>
                    </a:stretch>
                  </pic:blipFill>
                  <pic:spPr>
                    <a:xfrm>
                      <a:off x="0" y="0"/>
                      <a:ext cx="5262245" cy="2612390"/>
                    </a:xfrm>
                    <a:prstGeom prst="rect">
                      <a:avLst/>
                    </a:prstGeom>
                  </pic:spPr>
                </pic:pic>
              </a:graphicData>
            </a:graphic>
          </wp:inline>
        </w:drawing>
      </w:r>
    </w:p>
    <w:p w14:paraId="57C2E659">
      <w:pPr>
        <w:spacing w:line="300" w:lineRule="auto"/>
        <w:jc w:val="center"/>
        <w:rPr>
          <w:rFonts w:hint="default" w:ascii="Times New Roman Regular" w:hAnsi="Times New Roman Regular" w:cs="Times New Roman Regular"/>
          <w:color w:val="0000FF"/>
          <w:lang w:val="en-US" w:eastAsia="zh-CN"/>
        </w:rPr>
      </w:pPr>
      <w:r>
        <w:rPr>
          <w:rFonts w:hint="default" w:ascii="Times New Roman Bold" w:hAnsi="Times New Roman Bold" w:cs="Times New Roman Bold"/>
          <w:b/>
          <w:bCs/>
          <w:color w:val="0000FF"/>
          <w:lang w:val="en-US" w:eastAsia="zh-CN"/>
        </w:rPr>
        <w:t>Fig.2</w:t>
      </w:r>
      <w:r>
        <w:rPr>
          <w:rFonts w:hint="default" w:ascii="Times New Roman Regular" w:hAnsi="Times New Roman Regular" w:cs="Times New Roman Regular"/>
          <w:color w:val="0000FF"/>
          <w:lang w:val="en-US" w:eastAsia="zh-CN"/>
        </w:rPr>
        <w:t xml:space="preserve">. Temperature and </w:t>
      </w:r>
      <w:r>
        <w:rPr>
          <w:rFonts w:hint="eastAsia" w:ascii="Times New Roman Regular" w:hAnsi="Times New Roman Regular" w:cs="Times New Roman Regular"/>
          <w:color w:val="0000FF"/>
          <w:lang w:val="en-US" w:eastAsia="zh-CN"/>
        </w:rPr>
        <w:t>p</w:t>
      </w:r>
      <w:r>
        <w:rPr>
          <w:rFonts w:hint="default" w:ascii="Times New Roman Regular" w:hAnsi="Times New Roman Regular" w:cs="Times New Roman Regular"/>
          <w:color w:val="0000FF"/>
          <w:lang w:val="en-US" w:eastAsia="zh-CN"/>
        </w:rPr>
        <w:t>recipitation trends in study area (1952-2025).</w:t>
      </w:r>
    </w:p>
    <w:p w14:paraId="35F9CBAD">
      <w:pPr>
        <w:spacing w:line="300" w:lineRule="auto"/>
        <w:ind w:firstLine="420"/>
        <w:rPr>
          <w:rFonts w:hint="default" w:ascii="Times New Roman Regular" w:hAnsi="Times New Roman Regular" w:cs="Times New Roman Regular"/>
          <w:color w:val="0000FF"/>
          <w:lang w:val="en-US"/>
        </w:rPr>
      </w:pPr>
      <w:r>
        <w:rPr>
          <w:rFonts w:hint="default" w:ascii="Times New Roman Regular" w:hAnsi="Times New Roman Regular" w:cs="Times New Roman Regular"/>
          <w:color w:val="0000FF"/>
          <w:lang w:val="en-US"/>
        </w:rPr>
        <w:t>Cultivated land constitutes a significant proportion of the total area in Xiong’an New Area and is predominantly dryland. Traditional fertilization practices in this region involve high application rates of nitrogen fertilizer and manure. As a representative farm in the region, the study site adheres to these traditional practices, making it susceptible to the impacts of high fertilization intensity. The annual nitrogen fertilizer application rate at the study site ranges from 540 to 660 kg (N) ha</w:t>
      </w:r>
      <w:r>
        <w:rPr>
          <w:rFonts w:hint="default" w:ascii="Times New Roman Regular" w:hAnsi="Times New Roman Regular" w:cs="Times New Roman Regular"/>
          <w:color w:val="0000FF"/>
          <w:vertAlign w:val="superscript"/>
          <w:lang w:val="en-US"/>
        </w:rPr>
        <w:t>-1</w:t>
      </w:r>
      <w:r>
        <w:rPr>
          <w:rFonts w:hint="default" w:ascii="Times New Roman Regular" w:hAnsi="Times New Roman Regular" w:cs="Times New Roman Regular"/>
          <w:color w:val="0000FF"/>
          <w:lang w:val="en-US"/>
        </w:rPr>
        <w:t xml:space="preserve"> yr</w:t>
      </w:r>
      <w:r>
        <w:rPr>
          <w:rFonts w:hint="default" w:ascii="Times New Roman Regular" w:hAnsi="Times New Roman Regular" w:cs="Times New Roman Regular"/>
          <w:color w:val="0000FF"/>
          <w:vertAlign w:val="superscript"/>
          <w:lang w:val="en-US"/>
        </w:rPr>
        <w:t>-1</w:t>
      </w:r>
      <w:r>
        <w:rPr>
          <w:rFonts w:hint="default" w:ascii="Times New Roman Regular" w:hAnsi="Times New Roman Regular" w:cs="Times New Roman Regular"/>
          <w:color w:val="0000FF"/>
          <w:lang w:val="en-US"/>
        </w:rPr>
        <w:t>, primarily supplied in the form of urea (46% N). Consequently, the extensive application of chemical fertilizers and manure has increased the risk of groundwater nitrogen pollution. Furthermore, the relatively dense rural population distribution leads to pollution from the discharge of domestic sewage in the vicinity. Irrigation is scheduled according to crop phenological stages. Wheat receives muddy water irrigation before sowing, and during the overwintering, reviving, and jointing stages, while maize receives a single muddy water irrigation after sowing.</w:t>
      </w:r>
    </w:p>
    <w:p w14:paraId="1458721A">
      <w:pPr>
        <w:spacing w:line="300" w:lineRule="auto"/>
        <w:ind w:firstLine="420"/>
        <w:rPr>
          <w:rFonts w:hint="default" w:ascii="Times New Roman Regular" w:hAnsi="Times New Roman Regular" w:cs="Times New Roman Regular"/>
          <w:color w:val="0000FF"/>
          <w:lang w:val="en-US"/>
        </w:rPr>
      </w:pPr>
      <w:r>
        <w:rPr>
          <w:rFonts w:hint="default" w:ascii="Times New Roman Regular" w:hAnsi="Times New Roman Regular" w:cs="Times New Roman Regular"/>
          <w:color w:val="0000FF"/>
          <w:lang w:val="en-US"/>
        </w:rPr>
        <w:t xml:space="preserve">The climate is characterized as a temperate continental monsoon climate. Springs are dry with little rain, summers are humid and rainy, autumns are cool and dry, and winters are cold with minimal snowfall. The mean annual temperature is 12.6°C, with relatively small inter-annual fluctuations; the lowest temperatures occur in January, averaging -5°C, while the highest occur in July, averaging 26.1°C. The mean annual precipitation is 480.8 mm, which is highly concentrated between June and September, accounting for nearly 80% of the annual total. The long-term temperature and precipitation changes in the study area are shown in </w:t>
      </w:r>
      <w:r>
        <w:rPr>
          <w:rFonts w:hint="eastAsia" w:ascii="Times New Roman Regular" w:hAnsi="Times New Roman Regular" w:cs="Times New Roman Regular"/>
          <w:color w:val="0000FF"/>
          <w:lang w:val="en-US" w:eastAsia="zh-CN"/>
        </w:rPr>
        <w:t>Fig</w:t>
      </w:r>
      <w:r>
        <w:rPr>
          <w:rFonts w:hint="default" w:ascii="Times New Roman Regular" w:hAnsi="Times New Roman Regular" w:cs="Times New Roman Regular"/>
          <w:color w:val="0000FF"/>
          <w:lang w:val="en-US" w:eastAsia="zh-CN"/>
        </w:rPr>
        <w:t>.2</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rPr>
        <w:t>The multi-year average evaporation is 1,661.1 mm (</w:t>
      </w:r>
      <w:r>
        <w:rPr>
          <w:rFonts w:hint="default" w:ascii="Times New Roman Regular" w:hAnsi="Times New Roman Regular" w:cs="Times New Roman Regular"/>
          <w:color w:val="0000FF"/>
          <w:lang w:val="en-US"/>
        </w:rPr>
        <w:t>Liao et al., 2020), and the multi-year average water surface evaporation is 1,761.7 mm (</w:t>
      </w:r>
      <w:r>
        <w:rPr>
          <w:rFonts w:hint="default" w:ascii="Times New Roman Regular" w:hAnsi="Times New Roman Regular" w:cs="Times New Roman Regular"/>
          <w:color w:val="0000FF"/>
          <w:lang w:val="en-US"/>
        </w:rPr>
        <w:t>Sun, 2024). The mean annual sunshine duration is 2,335.2 hours, with longer sunshine hours in spring and summer and shorter hours in autumn and winter. The average frost-free period lasts 204 days. The mean annual wind speed is 1.7 m s</w:t>
      </w:r>
      <w:r>
        <w:rPr>
          <w:rFonts w:hint="default" w:ascii="Times New Roman Regular" w:hAnsi="Times New Roman Regular" w:cs="Times New Roman Regular"/>
          <w:color w:val="0000FF"/>
          <w:vertAlign w:val="superscript"/>
          <w:lang w:val="en-US"/>
        </w:rPr>
        <w:t>-1</w:t>
      </w:r>
      <w:r>
        <w:rPr>
          <w:rFonts w:hint="default" w:ascii="Times New Roman Regular" w:hAnsi="Times New Roman Regular" w:cs="Times New Roman Regular"/>
          <w:color w:val="0000FF"/>
          <w:lang w:val="en-US"/>
        </w:rPr>
        <w:t>, with the highest average speeds occurring in April and the lowest in January, August, and December.</w:t>
      </w:r>
    </w:p>
    <w:p w14:paraId="42712611">
      <w:pPr>
        <w:spacing w:line="300" w:lineRule="auto"/>
        <w:ind w:firstLine="420"/>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color w:val="0000FF"/>
          <w:lang w:val="en-US"/>
        </w:rPr>
        <w:t>The soil texture is predominantly silt loam. The 2-8.5 m soil layer contains interlayers with high clay content, such as clay and silty clay, reflecting the sedimentary characteristics of the vadose zone in the Central Plains under geomorphic deposition. Nitrogen in the thick vadose zone exists predominantly as organic nitrogen, accounting for approximately 97% of the total nitrogen content. The shallow vadose zone at depths of 3-6 m stores the highest amount of nitrate, accounting for approximately half of the total nitrate reserves in the North China Plain (</w:t>
      </w:r>
      <w:r>
        <w:rPr>
          <w:rFonts w:hint="default" w:ascii="Times New Roman Regular" w:hAnsi="Times New Roman Regular" w:cs="Times New Roman Regular"/>
          <w:color w:val="0000FF"/>
          <w:lang w:val="en-US"/>
        </w:rPr>
        <w:t>Li et al., 2025; Zhang et al., 2007). Groundwater in the study area is primarily stored in Quaternary unconsolidated porous aquifers, with sampling well depths ranging from 70 to 120 m (</w:t>
      </w:r>
      <w:r>
        <w:rPr>
          <w:rFonts w:hint="default" w:ascii="Times New Roman Regular" w:hAnsi="Times New Roman Regular" w:cs="Times New Roman Regular"/>
          <w:color w:val="0000FF"/>
          <w:lang w:val="en-US"/>
        </w:rPr>
        <w:t>Bai et al., 2023). The lithology of the shallow aquifer group is dominated by sand layers with medium water abundance, such as silty fine sand, fine sand, and medium sand, with single-well yields ranging from approximately 1,000 to 3,000 m</w:t>
      </w:r>
      <w:r>
        <w:rPr>
          <w:rFonts w:hint="default" w:ascii="Times New Roman Regular" w:hAnsi="Times New Roman Regular" w:cs="Times New Roman Regular"/>
          <w:color w:val="0000FF"/>
          <w:vertAlign w:val="superscript"/>
          <w:lang w:val="en-US"/>
        </w:rPr>
        <w:t>3</w:t>
      </w:r>
      <w:r>
        <w:rPr>
          <w:rFonts w:hint="default" w:ascii="Times New Roman Regular" w:hAnsi="Times New Roman Regular" w:cs="Times New Roman Regular"/>
          <w:color w:val="0000FF"/>
          <w:lang w:val="en-US"/>
        </w:rPr>
        <w:t>/d. Based on groundwater survey data from June 2022 (</w:t>
      </w:r>
      <w:r>
        <w:rPr>
          <w:rFonts w:hint="default" w:ascii="Times New Roman Regular" w:hAnsi="Times New Roman Regular" w:cs="Times New Roman Regular"/>
          <w:color w:val="0000FF"/>
          <w:lang w:val="en-US"/>
        </w:rPr>
        <w:t>Xiong’an Urban Geology Research Center, China Geological Survey, 2023), the depth to the shallow groundwater table in Xiong’an New Area ranges from 5.0 to 35.0 m. Water level fluctuations are primarily influenced by atmospheric precipitation infiltration and agricultural extraction (</w:t>
      </w:r>
      <w:r>
        <w:rPr>
          <w:rFonts w:hint="default" w:ascii="Times New Roman Regular" w:hAnsi="Times New Roman Regular" w:cs="Times New Roman Regular"/>
          <w:color w:val="0000FF"/>
          <w:lang w:val="en-US"/>
        </w:rPr>
        <w:t xml:space="preserve">Ma et al., 2022). The primary source of groundwater recharge for farmland in the study area is atmospheric precipitation, while the main pathway of discharge is artificial extraction for agricultural irrigation. The detailed data on climate and hydrological indicators in the research area are shown in </w:t>
      </w:r>
      <w:r>
        <w:rPr>
          <w:rFonts w:hint="default" w:ascii="Times New Roman Regular" w:hAnsi="Times New Roman Regular" w:cs="Times New Roman Regular"/>
          <w:color w:val="0000FF"/>
          <w:lang w:val="en-US"/>
        </w:rPr>
        <w:t>Table 1.</w:t>
      </w:r>
    </w:p>
    <w:p w14:paraId="26D76D3B">
      <w:pPr>
        <w:spacing w:line="300" w:lineRule="auto"/>
        <w:ind w:firstLine="0"/>
        <w:rPr>
          <w:rFonts w:hint="default" w:ascii="Times New Roman Regular" w:hAnsi="Times New Roman Regular" w:cs="Times New Roman Regular" w:eastAsiaTheme="minorEastAsia"/>
          <w:color w:val="0000FF"/>
          <w:lang w:val="en-US" w:eastAsia="zh-CN"/>
        </w:rPr>
      </w:pPr>
      <w:r>
        <w:rPr>
          <w:rFonts w:hint="default" w:ascii="Times New Roman Bold" w:hAnsi="Times New Roman Bold" w:cs="Times New Roman Bold"/>
          <w:b/>
          <w:bCs/>
          <w:color w:val="0000FF"/>
          <w:lang w:val="en-US" w:eastAsia="zh-CN"/>
        </w:rPr>
        <w:t>Table 1</w:t>
      </w:r>
      <w:r>
        <w:rPr>
          <w:rFonts w:hint="default" w:ascii="Times New Roman Regular" w:hAnsi="Times New Roman Regular" w:cs="Times New Roman Regular"/>
          <w:color w:val="0000FF"/>
          <w:lang w:val="en-US" w:eastAsia="zh-CN"/>
        </w:rPr>
        <w:t>. Summary of key climatic and hydrological variables in the study area.</w:t>
      </w:r>
    </w:p>
    <w:tbl>
      <w:tblPr>
        <w:tblStyle w:val="5"/>
        <w:tblW w:w="892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37"/>
        <w:gridCol w:w="3229"/>
        <w:gridCol w:w="2241"/>
        <w:gridCol w:w="1657"/>
      </w:tblGrid>
      <w:tr w14:paraId="1B6B4201">
        <w:trPr>
          <w:trHeight w:val="336" w:hRule="atLeast"/>
          <w:jc w:val="center"/>
        </w:trPr>
        <w:tc>
          <w:tcPr>
            <w:tcW w:w="1902" w:type="dxa"/>
            <w:tcBorders>
              <w:top w:val="single" w:color="auto" w:sz="4" w:space="0"/>
              <w:left w:val="nil"/>
              <w:bottom w:val="single" w:color="auto" w:sz="4" w:space="0"/>
              <w:right w:val="nil"/>
            </w:tcBorders>
            <w:shd w:val="clear" w:color="auto" w:fill="auto"/>
            <w:noWrap/>
            <w:vAlign w:val="center"/>
          </w:tcPr>
          <w:p w14:paraId="4A072537">
            <w:pPr>
              <w:keepNext w:val="0"/>
              <w:keepLines w:val="0"/>
              <w:widowControl/>
              <w:suppressLineNumbers w:val="0"/>
              <w:jc w:val="center"/>
              <w:textAlignment w:val="center"/>
              <w:rPr>
                <w:rFonts w:ascii="Times New Roman Regular" w:hAnsi="Times New Roman Regular" w:eastAsia="Times New Roman Regular" w:cs="Times New Roman Regular"/>
                <w:b/>
                <w:bCs/>
                <w:i w:val="0"/>
                <w:iCs w:val="0"/>
                <w:color w:val="0000FF"/>
                <w:sz w:val="21"/>
                <w:szCs w:val="21"/>
                <w:u w:val="none"/>
              </w:rPr>
            </w:pPr>
            <w:r>
              <w:rPr>
                <w:rFonts w:hint="default" w:ascii="Times New Roman Regular" w:hAnsi="Times New Roman Regular" w:eastAsia="Times New Roman Regular" w:cs="Times New Roman Regular"/>
                <w:b/>
                <w:bCs/>
                <w:i w:val="0"/>
                <w:iCs w:val="0"/>
                <w:color w:val="0000FF"/>
                <w:kern w:val="0"/>
                <w:sz w:val="21"/>
                <w:szCs w:val="21"/>
                <w:u w:val="none"/>
                <w:lang w:val="en-US" w:eastAsia="zh-CN" w:bidi="ar"/>
              </w:rPr>
              <w:t>Category</w:t>
            </w:r>
          </w:p>
        </w:tc>
        <w:tc>
          <w:tcPr>
            <w:tcW w:w="3229" w:type="dxa"/>
            <w:tcBorders>
              <w:top w:val="single" w:color="auto" w:sz="4" w:space="0"/>
              <w:left w:val="nil"/>
              <w:bottom w:val="single" w:color="auto" w:sz="4" w:space="0"/>
              <w:right w:val="nil"/>
            </w:tcBorders>
            <w:shd w:val="clear" w:color="auto" w:fill="auto"/>
            <w:noWrap/>
            <w:vAlign w:val="center"/>
          </w:tcPr>
          <w:p w14:paraId="7E55C6EE">
            <w:pPr>
              <w:keepNext w:val="0"/>
              <w:keepLines w:val="0"/>
              <w:widowControl/>
              <w:suppressLineNumbers w:val="0"/>
              <w:jc w:val="center"/>
              <w:textAlignment w:val="center"/>
              <w:rPr>
                <w:rFonts w:hint="default" w:ascii="Times New Roman Regular" w:hAnsi="Times New Roman Regular" w:eastAsia="Times New Roman Regular" w:cs="Times New Roman Regular"/>
                <w:b/>
                <w:bCs/>
                <w:i w:val="0"/>
                <w:iCs w:val="0"/>
                <w:color w:val="0000FF"/>
                <w:sz w:val="21"/>
                <w:szCs w:val="21"/>
                <w:u w:val="none"/>
              </w:rPr>
            </w:pPr>
            <w:r>
              <w:rPr>
                <w:rFonts w:hint="default" w:ascii="Times New Roman Regular" w:hAnsi="Times New Roman Regular" w:eastAsia="Times New Roman Regular" w:cs="Times New Roman Regular"/>
                <w:b/>
                <w:bCs/>
                <w:i w:val="0"/>
                <w:iCs w:val="0"/>
                <w:color w:val="0000FF"/>
                <w:kern w:val="0"/>
                <w:sz w:val="21"/>
                <w:szCs w:val="21"/>
                <w:u w:val="none"/>
                <w:lang w:val="en-US" w:eastAsia="zh-CN" w:bidi="ar"/>
              </w:rPr>
              <w:t>Variable</w:t>
            </w:r>
          </w:p>
        </w:tc>
        <w:tc>
          <w:tcPr>
            <w:tcW w:w="2241" w:type="dxa"/>
            <w:tcBorders>
              <w:top w:val="single" w:color="auto" w:sz="4" w:space="0"/>
              <w:left w:val="nil"/>
              <w:bottom w:val="single" w:color="auto" w:sz="4" w:space="0"/>
              <w:right w:val="nil"/>
            </w:tcBorders>
            <w:shd w:val="clear" w:color="auto" w:fill="auto"/>
            <w:noWrap/>
            <w:vAlign w:val="center"/>
          </w:tcPr>
          <w:p w14:paraId="45AB4920">
            <w:pPr>
              <w:keepNext w:val="0"/>
              <w:keepLines w:val="0"/>
              <w:widowControl/>
              <w:suppressLineNumbers w:val="0"/>
              <w:jc w:val="right"/>
              <w:textAlignment w:val="center"/>
              <w:rPr>
                <w:rFonts w:hint="default" w:ascii="Times New Roman Regular" w:hAnsi="Times New Roman Regular" w:eastAsia="Times New Roman Regular" w:cs="Times New Roman Regular"/>
                <w:b/>
                <w:bCs/>
                <w:i w:val="0"/>
                <w:iCs w:val="0"/>
                <w:color w:val="0000FF"/>
                <w:sz w:val="21"/>
                <w:szCs w:val="21"/>
                <w:u w:val="none"/>
              </w:rPr>
            </w:pPr>
            <w:r>
              <w:rPr>
                <w:rFonts w:hint="default" w:ascii="Times New Roman Regular" w:hAnsi="Times New Roman Regular" w:eastAsia="Times New Roman Regular" w:cs="Times New Roman Regular"/>
                <w:b/>
                <w:bCs/>
                <w:i w:val="0"/>
                <w:iCs w:val="0"/>
                <w:color w:val="0000FF"/>
                <w:kern w:val="0"/>
                <w:sz w:val="21"/>
                <w:szCs w:val="21"/>
                <w:u w:val="none"/>
                <w:lang w:val="en-US" w:eastAsia="zh-CN" w:bidi="ar"/>
              </w:rPr>
              <w:t>Value / Range</w:t>
            </w:r>
          </w:p>
        </w:tc>
        <w:tc>
          <w:tcPr>
            <w:tcW w:w="1563" w:type="dxa"/>
            <w:tcBorders>
              <w:top w:val="single" w:color="auto" w:sz="4" w:space="0"/>
              <w:left w:val="nil"/>
              <w:bottom w:val="single" w:color="auto" w:sz="4" w:space="0"/>
              <w:right w:val="nil"/>
            </w:tcBorders>
            <w:shd w:val="clear" w:color="auto" w:fill="auto"/>
            <w:noWrap/>
            <w:vAlign w:val="center"/>
          </w:tcPr>
          <w:p w14:paraId="0C33F1C4">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Unit</w:t>
            </w:r>
          </w:p>
        </w:tc>
      </w:tr>
      <w:tr w14:paraId="0019AF77">
        <w:trPr>
          <w:trHeight w:val="336" w:hRule="atLeast"/>
          <w:jc w:val="center"/>
        </w:trPr>
        <w:tc>
          <w:tcPr>
            <w:tcW w:w="0" w:type="auto"/>
            <w:tcBorders>
              <w:top w:val="single" w:color="auto" w:sz="4" w:space="0"/>
              <w:left w:val="nil"/>
              <w:bottom w:val="nil"/>
              <w:right w:val="nil"/>
            </w:tcBorders>
            <w:shd w:val="clear" w:color="auto" w:fill="auto"/>
            <w:noWrap/>
            <w:vAlign w:val="center"/>
          </w:tcPr>
          <w:p w14:paraId="481B35A2">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Temperature</w:t>
            </w:r>
          </w:p>
        </w:tc>
        <w:tc>
          <w:tcPr>
            <w:tcW w:w="0" w:type="auto"/>
            <w:tcBorders>
              <w:top w:val="single" w:color="auto" w:sz="4" w:space="0"/>
              <w:left w:val="nil"/>
              <w:bottom w:val="nil"/>
              <w:right w:val="nil"/>
            </w:tcBorders>
            <w:shd w:val="clear" w:color="auto" w:fill="auto"/>
            <w:noWrap/>
            <w:vAlign w:val="center"/>
          </w:tcPr>
          <w:p w14:paraId="1E5FC558">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Mean annual temperature</w:t>
            </w:r>
          </w:p>
        </w:tc>
        <w:tc>
          <w:tcPr>
            <w:tcW w:w="0" w:type="auto"/>
            <w:tcBorders>
              <w:top w:val="single" w:color="auto" w:sz="4" w:space="0"/>
              <w:left w:val="nil"/>
              <w:bottom w:val="nil"/>
              <w:right w:val="nil"/>
            </w:tcBorders>
            <w:shd w:val="clear" w:color="auto" w:fill="auto"/>
            <w:noWrap/>
            <w:vAlign w:val="center"/>
          </w:tcPr>
          <w:p w14:paraId="6615DECC">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12.6</w:t>
            </w:r>
          </w:p>
        </w:tc>
        <w:tc>
          <w:tcPr>
            <w:tcW w:w="0" w:type="auto"/>
            <w:tcBorders>
              <w:top w:val="single" w:color="auto" w:sz="4" w:space="0"/>
              <w:left w:val="nil"/>
              <w:bottom w:val="nil"/>
              <w:right w:val="nil"/>
            </w:tcBorders>
            <w:shd w:val="clear" w:color="auto" w:fill="auto"/>
            <w:noWrap/>
            <w:vAlign w:val="center"/>
          </w:tcPr>
          <w:p w14:paraId="6A0AEB76">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°C</w:t>
            </w:r>
          </w:p>
        </w:tc>
      </w:tr>
      <w:tr w14:paraId="1B3C8947">
        <w:trPr>
          <w:trHeight w:val="336" w:hRule="atLeast"/>
          <w:jc w:val="center"/>
        </w:trPr>
        <w:tc>
          <w:tcPr>
            <w:tcW w:w="0" w:type="auto"/>
            <w:tcBorders>
              <w:top w:val="nil"/>
              <w:left w:val="nil"/>
              <w:bottom w:val="nil"/>
              <w:right w:val="nil"/>
            </w:tcBorders>
            <w:shd w:val="clear" w:color="auto" w:fill="auto"/>
            <w:noWrap/>
            <w:vAlign w:val="center"/>
          </w:tcPr>
          <w:p w14:paraId="1BCAFAA4">
            <w:pPr>
              <w:rPr>
                <w:rFonts w:hint="default" w:ascii="Times New Roman Regular" w:hAnsi="Times New Roman Regular" w:eastAsia="Times New Roman Regular" w:cs="Times New Roman Regular"/>
                <w:i w:val="0"/>
                <w:iCs w:val="0"/>
                <w:color w:val="0000FF"/>
                <w:sz w:val="21"/>
                <w:szCs w:val="21"/>
                <w:u w:val="none"/>
              </w:rPr>
            </w:pPr>
          </w:p>
        </w:tc>
        <w:tc>
          <w:tcPr>
            <w:tcW w:w="0" w:type="auto"/>
            <w:tcBorders>
              <w:top w:val="nil"/>
              <w:left w:val="nil"/>
              <w:bottom w:val="nil"/>
              <w:right w:val="nil"/>
            </w:tcBorders>
            <w:shd w:val="clear" w:color="auto" w:fill="auto"/>
            <w:noWrap/>
            <w:vAlign w:val="center"/>
          </w:tcPr>
          <w:p w14:paraId="4945787B">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Mean January temperature</w:t>
            </w:r>
          </w:p>
        </w:tc>
        <w:tc>
          <w:tcPr>
            <w:tcW w:w="0" w:type="auto"/>
            <w:tcBorders>
              <w:top w:val="nil"/>
              <w:left w:val="nil"/>
              <w:bottom w:val="nil"/>
              <w:right w:val="nil"/>
            </w:tcBorders>
            <w:shd w:val="clear" w:color="auto" w:fill="auto"/>
            <w:noWrap/>
            <w:vAlign w:val="center"/>
          </w:tcPr>
          <w:p w14:paraId="7CFEF3F0">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-5.0</w:t>
            </w:r>
          </w:p>
        </w:tc>
        <w:tc>
          <w:tcPr>
            <w:tcW w:w="0" w:type="auto"/>
            <w:tcBorders>
              <w:top w:val="nil"/>
              <w:left w:val="nil"/>
              <w:bottom w:val="nil"/>
              <w:right w:val="nil"/>
            </w:tcBorders>
            <w:shd w:val="clear" w:color="auto" w:fill="auto"/>
            <w:noWrap/>
            <w:vAlign w:val="center"/>
          </w:tcPr>
          <w:p w14:paraId="1D4FD3DD">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°C</w:t>
            </w:r>
          </w:p>
        </w:tc>
      </w:tr>
      <w:tr w14:paraId="0C0A83A6">
        <w:trPr>
          <w:trHeight w:val="336" w:hRule="atLeast"/>
          <w:jc w:val="center"/>
        </w:trPr>
        <w:tc>
          <w:tcPr>
            <w:tcW w:w="0" w:type="auto"/>
            <w:tcBorders>
              <w:top w:val="nil"/>
              <w:left w:val="nil"/>
              <w:bottom w:val="nil"/>
              <w:right w:val="nil"/>
            </w:tcBorders>
            <w:shd w:val="clear" w:color="auto" w:fill="auto"/>
            <w:noWrap/>
            <w:vAlign w:val="center"/>
          </w:tcPr>
          <w:p w14:paraId="699EA4E5">
            <w:pPr>
              <w:rPr>
                <w:rFonts w:hint="default" w:ascii="Times New Roman Regular" w:hAnsi="Times New Roman Regular" w:eastAsia="Times New Roman Regular" w:cs="Times New Roman Regular"/>
                <w:i w:val="0"/>
                <w:iCs w:val="0"/>
                <w:color w:val="0000FF"/>
                <w:sz w:val="21"/>
                <w:szCs w:val="21"/>
                <w:u w:val="none"/>
              </w:rPr>
            </w:pPr>
          </w:p>
        </w:tc>
        <w:tc>
          <w:tcPr>
            <w:tcW w:w="0" w:type="auto"/>
            <w:tcBorders>
              <w:top w:val="nil"/>
              <w:left w:val="nil"/>
              <w:bottom w:val="nil"/>
              <w:right w:val="nil"/>
            </w:tcBorders>
            <w:shd w:val="clear" w:color="auto" w:fill="auto"/>
            <w:noWrap/>
            <w:vAlign w:val="center"/>
          </w:tcPr>
          <w:p w14:paraId="5A91807D">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Mean July temperature</w:t>
            </w:r>
          </w:p>
        </w:tc>
        <w:tc>
          <w:tcPr>
            <w:tcW w:w="0" w:type="auto"/>
            <w:tcBorders>
              <w:top w:val="nil"/>
              <w:left w:val="nil"/>
              <w:bottom w:val="nil"/>
              <w:right w:val="nil"/>
            </w:tcBorders>
            <w:shd w:val="clear" w:color="auto" w:fill="auto"/>
            <w:noWrap/>
            <w:vAlign w:val="center"/>
          </w:tcPr>
          <w:p w14:paraId="2D624277">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26.1</w:t>
            </w:r>
          </w:p>
        </w:tc>
        <w:tc>
          <w:tcPr>
            <w:tcW w:w="0" w:type="auto"/>
            <w:tcBorders>
              <w:top w:val="nil"/>
              <w:left w:val="nil"/>
              <w:bottom w:val="nil"/>
              <w:right w:val="nil"/>
            </w:tcBorders>
            <w:shd w:val="clear" w:color="auto" w:fill="auto"/>
            <w:noWrap/>
            <w:vAlign w:val="center"/>
          </w:tcPr>
          <w:p w14:paraId="0D0F8E02">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°C</w:t>
            </w:r>
          </w:p>
        </w:tc>
      </w:tr>
      <w:tr w14:paraId="6F0F799D">
        <w:trPr>
          <w:trHeight w:val="336" w:hRule="atLeast"/>
          <w:jc w:val="center"/>
        </w:trPr>
        <w:tc>
          <w:tcPr>
            <w:tcW w:w="0" w:type="auto"/>
            <w:tcBorders>
              <w:top w:val="nil"/>
              <w:left w:val="nil"/>
              <w:bottom w:val="nil"/>
              <w:right w:val="nil"/>
            </w:tcBorders>
            <w:shd w:val="clear" w:color="auto" w:fill="auto"/>
            <w:noWrap/>
            <w:vAlign w:val="center"/>
          </w:tcPr>
          <w:p w14:paraId="77AB8467">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Precipitation</w:t>
            </w:r>
          </w:p>
        </w:tc>
        <w:tc>
          <w:tcPr>
            <w:tcW w:w="0" w:type="auto"/>
            <w:tcBorders>
              <w:top w:val="nil"/>
              <w:left w:val="nil"/>
              <w:bottom w:val="nil"/>
              <w:right w:val="nil"/>
            </w:tcBorders>
            <w:shd w:val="clear" w:color="auto" w:fill="auto"/>
            <w:noWrap/>
            <w:vAlign w:val="center"/>
          </w:tcPr>
          <w:p w14:paraId="1B0C4C40">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Mean annual precipitation</w:t>
            </w:r>
          </w:p>
        </w:tc>
        <w:tc>
          <w:tcPr>
            <w:tcW w:w="0" w:type="auto"/>
            <w:tcBorders>
              <w:top w:val="nil"/>
              <w:left w:val="nil"/>
              <w:bottom w:val="nil"/>
              <w:right w:val="nil"/>
            </w:tcBorders>
            <w:shd w:val="clear" w:color="auto" w:fill="auto"/>
            <w:noWrap/>
            <w:vAlign w:val="center"/>
          </w:tcPr>
          <w:p w14:paraId="24A631BF">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480.8</w:t>
            </w:r>
          </w:p>
        </w:tc>
        <w:tc>
          <w:tcPr>
            <w:tcW w:w="0" w:type="auto"/>
            <w:tcBorders>
              <w:top w:val="nil"/>
              <w:left w:val="nil"/>
              <w:bottom w:val="nil"/>
              <w:right w:val="nil"/>
            </w:tcBorders>
            <w:shd w:val="clear" w:color="auto" w:fill="auto"/>
            <w:noWrap/>
            <w:vAlign w:val="center"/>
          </w:tcPr>
          <w:p w14:paraId="7FA4BDA1">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mm</w:t>
            </w:r>
          </w:p>
        </w:tc>
      </w:tr>
      <w:tr w14:paraId="3C91D6EB">
        <w:trPr>
          <w:trHeight w:val="336" w:hRule="atLeast"/>
          <w:jc w:val="center"/>
        </w:trPr>
        <w:tc>
          <w:tcPr>
            <w:tcW w:w="0" w:type="auto"/>
            <w:tcBorders>
              <w:top w:val="nil"/>
              <w:left w:val="nil"/>
              <w:bottom w:val="nil"/>
              <w:right w:val="nil"/>
            </w:tcBorders>
            <w:shd w:val="clear" w:color="auto" w:fill="auto"/>
            <w:noWrap/>
            <w:vAlign w:val="center"/>
          </w:tcPr>
          <w:p w14:paraId="7A3542BF">
            <w:pPr>
              <w:rPr>
                <w:rFonts w:hint="default" w:ascii="Times New Roman Regular" w:hAnsi="Times New Roman Regular" w:eastAsia="Times New Roman Regular" w:cs="Times New Roman Regular"/>
                <w:i w:val="0"/>
                <w:iCs w:val="0"/>
                <w:color w:val="0000FF"/>
                <w:sz w:val="21"/>
                <w:szCs w:val="21"/>
                <w:u w:val="none"/>
              </w:rPr>
            </w:pPr>
          </w:p>
        </w:tc>
        <w:tc>
          <w:tcPr>
            <w:tcW w:w="3229" w:type="dxa"/>
            <w:tcBorders>
              <w:top w:val="nil"/>
              <w:left w:val="nil"/>
              <w:bottom w:val="nil"/>
              <w:right w:val="nil"/>
            </w:tcBorders>
            <w:shd w:val="clear" w:color="auto" w:fill="auto"/>
            <w:vAlign w:val="center"/>
          </w:tcPr>
          <w:p w14:paraId="2E0131CA">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Rainy season (Jun-Sep) contribution</w:t>
            </w:r>
          </w:p>
        </w:tc>
        <w:tc>
          <w:tcPr>
            <w:tcW w:w="0" w:type="auto"/>
            <w:tcBorders>
              <w:top w:val="nil"/>
              <w:left w:val="nil"/>
              <w:bottom w:val="nil"/>
              <w:right w:val="nil"/>
            </w:tcBorders>
            <w:shd w:val="clear" w:color="auto" w:fill="auto"/>
            <w:noWrap/>
            <w:vAlign w:val="center"/>
          </w:tcPr>
          <w:p w14:paraId="5E3FAFAC">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~80</w:t>
            </w:r>
          </w:p>
        </w:tc>
        <w:tc>
          <w:tcPr>
            <w:tcW w:w="0" w:type="auto"/>
            <w:tcBorders>
              <w:top w:val="nil"/>
              <w:left w:val="nil"/>
              <w:bottom w:val="nil"/>
              <w:right w:val="nil"/>
            </w:tcBorders>
            <w:shd w:val="clear" w:color="auto" w:fill="auto"/>
            <w:noWrap/>
            <w:vAlign w:val="center"/>
          </w:tcPr>
          <w:p w14:paraId="1512798A">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 of annual total</w:t>
            </w:r>
          </w:p>
        </w:tc>
      </w:tr>
      <w:tr w14:paraId="16EE67D7">
        <w:trPr>
          <w:trHeight w:val="336" w:hRule="atLeast"/>
          <w:jc w:val="center"/>
        </w:trPr>
        <w:tc>
          <w:tcPr>
            <w:tcW w:w="0" w:type="auto"/>
            <w:tcBorders>
              <w:top w:val="nil"/>
              <w:left w:val="nil"/>
              <w:bottom w:val="nil"/>
              <w:right w:val="nil"/>
            </w:tcBorders>
            <w:shd w:val="clear" w:color="auto" w:fill="auto"/>
            <w:noWrap/>
            <w:vAlign w:val="center"/>
          </w:tcPr>
          <w:p w14:paraId="3B115446">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Evaporation</w:t>
            </w:r>
          </w:p>
        </w:tc>
        <w:tc>
          <w:tcPr>
            <w:tcW w:w="0" w:type="auto"/>
            <w:tcBorders>
              <w:top w:val="nil"/>
              <w:left w:val="nil"/>
              <w:bottom w:val="nil"/>
              <w:right w:val="nil"/>
            </w:tcBorders>
            <w:shd w:val="clear" w:color="auto" w:fill="auto"/>
            <w:noWrap/>
            <w:vAlign w:val="center"/>
          </w:tcPr>
          <w:p w14:paraId="145F2396">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Mean annual evaporation</w:t>
            </w:r>
          </w:p>
        </w:tc>
        <w:tc>
          <w:tcPr>
            <w:tcW w:w="0" w:type="auto"/>
            <w:tcBorders>
              <w:top w:val="nil"/>
              <w:left w:val="nil"/>
              <w:bottom w:val="nil"/>
              <w:right w:val="nil"/>
            </w:tcBorders>
            <w:shd w:val="clear" w:color="auto" w:fill="auto"/>
            <w:noWrap/>
            <w:vAlign w:val="center"/>
          </w:tcPr>
          <w:p w14:paraId="58948C8F">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1,661.10</w:t>
            </w:r>
          </w:p>
        </w:tc>
        <w:tc>
          <w:tcPr>
            <w:tcW w:w="0" w:type="auto"/>
            <w:tcBorders>
              <w:top w:val="nil"/>
              <w:left w:val="nil"/>
              <w:bottom w:val="nil"/>
              <w:right w:val="nil"/>
            </w:tcBorders>
            <w:shd w:val="clear" w:color="auto" w:fill="auto"/>
            <w:noWrap/>
            <w:vAlign w:val="center"/>
          </w:tcPr>
          <w:p w14:paraId="6F4BEF35">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mm</w:t>
            </w:r>
          </w:p>
        </w:tc>
      </w:tr>
      <w:tr w14:paraId="0A5CEFF7">
        <w:trPr>
          <w:trHeight w:val="336" w:hRule="atLeast"/>
          <w:jc w:val="center"/>
        </w:trPr>
        <w:tc>
          <w:tcPr>
            <w:tcW w:w="0" w:type="auto"/>
            <w:tcBorders>
              <w:top w:val="nil"/>
              <w:left w:val="nil"/>
              <w:bottom w:val="nil"/>
              <w:right w:val="nil"/>
            </w:tcBorders>
            <w:shd w:val="clear" w:color="auto" w:fill="auto"/>
            <w:noWrap/>
            <w:vAlign w:val="center"/>
          </w:tcPr>
          <w:p w14:paraId="7C3D3BFC">
            <w:pPr>
              <w:rPr>
                <w:rFonts w:hint="default" w:ascii="Times New Roman Regular" w:hAnsi="Times New Roman Regular" w:eastAsia="Times New Roman Regular" w:cs="Times New Roman Regular"/>
                <w:i w:val="0"/>
                <w:iCs w:val="0"/>
                <w:color w:val="0000FF"/>
                <w:sz w:val="21"/>
                <w:szCs w:val="21"/>
                <w:u w:val="none"/>
              </w:rPr>
            </w:pPr>
          </w:p>
        </w:tc>
        <w:tc>
          <w:tcPr>
            <w:tcW w:w="3229" w:type="dxa"/>
            <w:tcBorders>
              <w:top w:val="nil"/>
              <w:left w:val="nil"/>
              <w:bottom w:val="nil"/>
              <w:right w:val="nil"/>
            </w:tcBorders>
            <w:shd w:val="clear" w:color="auto" w:fill="auto"/>
            <w:vAlign w:val="center"/>
          </w:tcPr>
          <w:p w14:paraId="4CE02763">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Mean annual water surface evaporation</w:t>
            </w:r>
          </w:p>
        </w:tc>
        <w:tc>
          <w:tcPr>
            <w:tcW w:w="0" w:type="auto"/>
            <w:tcBorders>
              <w:top w:val="nil"/>
              <w:left w:val="nil"/>
              <w:bottom w:val="nil"/>
              <w:right w:val="nil"/>
            </w:tcBorders>
            <w:shd w:val="clear" w:color="auto" w:fill="auto"/>
            <w:noWrap/>
            <w:vAlign w:val="center"/>
          </w:tcPr>
          <w:p w14:paraId="40F9C153">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1,761.70</w:t>
            </w:r>
          </w:p>
        </w:tc>
        <w:tc>
          <w:tcPr>
            <w:tcW w:w="0" w:type="auto"/>
            <w:tcBorders>
              <w:top w:val="nil"/>
              <w:left w:val="nil"/>
              <w:bottom w:val="nil"/>
              <w:right w:val="nil"/>
            </w:tcBorders>
            <w:shd w:val="clear" w:color="auto" w:fill="auto"/>
            <w:noWrap/>
            <w:vAlign w:val="center"/>
          </w:tcPr>
          <w:p w14:paraId="2160E9AF">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mm</w:t>
            </w:r>
          </w:p>
        </w:tc>
      </w:tr>
      <w:tr w14:paraId="50EBBBD1">
        <w:trPr>
          <w:trHeight w:val="336" w:hRule="atLeast"/>
          <w:jc w:val="center"/>
        </w:trPr>
        <w:tc>
          <w:tcPr>
            <w:tcW w:w="0" w:type="auto"/>
            <w:tcBorders>
              <w:top w:val="nil"/>
              <w:left w:val="nil"/>
              <w:bottom w:val="nil"/>
              <w:right w:val="nil"/>
            </w:tcBorders>
            <w:shd w:val="clear" w:color="auto" w:fill="auto"/>
            <w:noWrap/>
            <w:vAlign w:val="center"/>
          </w:tcPr>
          <w:p w14:paraId="767D6116">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Solar &amp; Wind</w:t>
            </w:r>
          </w:p>
        </w:tc>
        <w:tc>
          <w:tcPr>
            <w:tcW w:w="0" w:type="auto"/>
            <w:tcBorders>
              <w:top w:val="nil"/>
              <w:left w:val="nil"/>
              <w:bottom w:val="nil"/>
              <w:right w:val="nil"/>
            </w:tcBorders>
            <w:shd w:val="clear" w:color="auto" w:fill="auto"/>
            <w:noWrap/>
            <w:vAlign w:val="center"/>
          </w:tcPr>
          <w:p w14:paraId="716C9AA0">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Mean annual sunshine duration</w:t>
            </w:r>
          </w:p>
        </w:tc>
        <w:tc>
          <w:tcPr>
            <w:tcW w:w="0" w:type="auto"/>
            <w:tcBorders>
              <w:top w:val="nil"/>
              <w:left w:val="nil"/>
              <w:bottom w:val="nil"/>
              <w:right w:val="nil"/>
            </w:tcBorders>
            <w:shd w:val="clear" w:color="auto" w:fill="auto"/>
            <w:noWrap/>
            <w:vAlign w:val="center"/>
          </w:tcPr>
          <w:p w14:paraId="732264FC">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2,335.20</w:t>
            </w:r>
          </w:p>
        </w:tc>
        <w:tc>
          <w:tcPr>
            <w:tcW w:w="0" w:type="auto"/>
            <w:tcBorders>
              <w:top w:val="nil"/>
              <w:left w:val="nil"/>
              <w:bottom w:val="nil"/>
              <w:right w:val="nil"/>
            </w:tcBorders>
            <w:shd w:val="clear" w:color="auto" w:fill="auto"/>
            <w:noWrap/>
            <w:vAlign w:val="center"/>
          </w:tcPr>
          <w:p w14:paraId="0CF97559">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h</w:t>
            </w:r>
          </w:p>
        </w:tc>
      </w:tr>
      <w:tr w14:paraId="79896042">
        <w:trPr>
          <w:trHeight w:val="336" w:hRule="atLeast"/>
          <w:jc w:val="center"/>
        </w:trPr>
        <w:tc>
          <w:tcPr>
            <w:tcW w:w="0" w:type="auto"/>
            <w:tcBorders>
              <w:top w:val="nil"/>
              <w:left w:val="nil"/>
              <w:bottom w:val="nil"/>
              <w:right w:val="nil"/>
            </w:tcBorders>
            <w:shd w:val="clear" w:color="auto" w:fill="auto"/>
            <w:noWrap/>
            <w:vAlign w:val="center"/>
          </w:tcPr>
          <w:p w14:paraId="08D90E5F">
            <w:pPr>
              <w:rPr>
                <w:rFonts w:hint="default" w:ascii="Times New Roman Regular" w:hAnsi="Times New Roman Regular" w:eastAsia="Times New Roman Regular" w:cs="Times New Roman Regular"/>
                <w:i w:val="0"/>
                <w:iCs w:val="0"/>
                <w:color w:val="0000FF"/>
                <w:sz w:val="21"/>
                <w:szCs w:val="21"/>
                <w:u w:val="none"/>
              </w:rPr>
            </w:pPr>
          </w:p>
        </w:tc>
        <w:tc>
          <w:tcPr>
            <w:tcW w:w="0" w:type="auto"/>
            <w:tcBorders>
              <w:top w:val="nil"/>
              <w:left w:val="nil"/>
              <w:bottom w:val="nil"/>
              <w:right w:val="nil"/>
            </w:tcBorders>
            <w:shd w:val="clear" w:color="auto" w:fill="auto"/>
            <w:noWrap/>
            <w:vAlign w:val="center"/>
          </w:tcPr>
          <w:p w14:paraId="581451FF">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Mean annual wind speed</w:t>
            </w:r>
          </w:p>
        </w:tc>
        <w:tc>
          <w:tcPr>
            <w:tcW w:w="0" w:type="auto"/>
            <w:tcBorders>
              <w:top w:val="nil"/>
              <w:left w:val="nil"/>
              <w:bottom w:val="nil"/>
              <w:right w:val="nil"/>
            </w:tcBorders>
            <w:shd w:val="clear" w:color="auto" w:fill="auto"/>
            <w:noWrap/>
            <w:vAlign w:val="center"/>
          </w:tcPr>
          <w:p w14:paraId="3A12F353">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1.7</w:t>
            </w:r>
          </w:p>
        </w:tc>
        <w:tc>
          <w:tcPr>
            <w:tcW w:w="0" w:type="auto"/>
            <w:tcBorders>
              <w:top w:val="nil"/>
              <w:left w:val="nil"/>
              <w:bottom w:val="nil"/>
              <w:right w:val="nil"/>
            </w:tcBorders>
            <w:shd w:val="clear" w:color="auto" w:fill="auto"/>
            <w:noWrap/>
            <w:vAlign w:val="center"/>
          </w:tcPr>
          <w:p w14:paraId="2162ACBF">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lang w:val="en-US"/>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 s</w:t>
            </w:r>
            <w:r>
              <w:rPr>
                <w:rFonts w:hint="eastAsia" w:ascii="Times New Roman Regular" w:hAnsi="Times New Roman Regular" w:eastAsia="Times New Roman Regular" w:cs="Times New Roman Regular"/>
                <w:i w:val="0"/>
                <w:iCs w:val="0"/>
                <w:color w:val="0000FF"/>
                <w:kern w:val="0"/>
                <w:sz w:val="21"/>
                <w:szCs w:val="21"/>
                <w:u w:val="none"/>
                <w:vertAlign w:val="superscript"/>
                <w:lang w:val="en-US" w:eastAsia="zh-CN" w:bidi="ar"/>
              </w:rPr>
              <w:t>-1</w:t>
            </w:r>
          </w:p>
        </w:tc>
      </w:tr>
      <w:tr w14:paraId="01F41074">
        <w:trPr>
          <w:trHeight w:val="336" w:hRule="atLeast"/>
          <w:jc w:val="center"/>
        </w:trPr>
        <w:tc>
          <w:tcPr>
            <w:tcW w:w="0" w:type="auto"/>
            <w:tcBorders>
              <w:top w:val="nil"/>
              <w:left w:val="nil"/>
              <w:bottom w:val="nil"/>
              <w:right w:val="nil"/>
            </w:tcBorders>
            <w:shd w:val="clear" w:color="auto" w:fill="auto"/>
            <w:noWrap/>
            <w:vAlign w:val="center"/>
          </w:tcPr>
          <w:p w14:paraId="3FBC550E">
            <w:pPr>
              <w:rPr>
                <w:rFonts w:hint="default" w:ascii="Times New Roman Regular" w:hAnsi="Times New Roman Regular" w:eastAsia="Times New Roman Regular" w:cs="Times New Roman Regular"/>
                <w:i w:val="0"/>
                <w:iCs w:val="0"/>
                <w:color w:val="0000FF"/>
                <w:sz w:val="21"/>
                <w:szCs w:val="21"/>
                <w:u w:val="none"/>
              </w:rPr>
            </w:pPr>
          </w:p>
        </w:tc>
        <w:tc>
          <w:tcPr>
            <w:tcW w:w="0" w:type="auto"/>
            <w:tcBorders>
              <w:top w:val="nil"/>
              <w:left w:val="nil"/>
              <w:bottom w:val="nil"/>
              <w:right w:val="nil"/>
            </w:tcBorders>
            <w:shd w:val="clear" w:color="auto" w:fill="auto"/>
            <w:noWrap/>
            <w:vAlign w:val="center"/>
          </w:tcPr>
          <w:p w14:paraId="19E0225C">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Frost-free period</w:t>
            </w:r>
          </w:p>
        </w:tc>
        <w:tc>
          <w:tcPr>
            <w:tcW w:w="0" w:type="auto"/>
            <w:tcBorders>
              <w:top w:val="nil"/>
              <w:left w:val="nil"/>
              <w:bottom w:val="nil"/>
              <w:right w:val="nil"/>
            </w:tcBorders>
            <w:shd w:val="clear" w:color="auto" w:fill="auto"/>
            <w:noWrap/>
            <w:vAlign w:val="center"/>
          </w:tcPr>
          <w:p w14:paraId="22BB1A96">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~204</w:t>
            </w:r>
          </w:p>
        </w:tc>
        <w:tc>
          <w:tcPr>
            <w:tcW w:w="0" w:type="auto"/>
            <w:tcBorders>
              <w:top w:val="nil"/>
              <w:left w:val="nil"/>
              <w:bottom w:val="nil"/>
              <w:right w:val="nil"/>
            </w:tcBorders>
            <w:shd w:val="clear" w:color="auto" w:fill="auto"/>
            <w:noWrap/>
            <w:vAlign w:val="center"/>
          </w:tcPr>
          <w:p w14:paraId="32D064E0">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days</w:t>
            </w:r>
          </w:p>
        </w:tc>
      </w:tr>
      <w:tr w14:paraId="08886CD2">
        <w:trPr>
          <w:trHeight w:val="336" w:hRule="atLeast"/>
          <w:jc w:val="center"/>
        </w:trPr>
        <w:tc>
          <w:tcPr>
            <w:tcW w:w="0" w:type="auto"/>
            <w:tcBorders>
              <w:top w:val="nil"/>
              <w:left w:val="nil"/>
              <w:bottom w:val="nil"/>
              <w:right w:val="nil"/>
            </w:tcBorders>
            <w:shd w:val="clear" w:color="auto" w:fill="auto"/>
            <w:noWrap/>
            <w:vAlign w:val="center"/>
          </w:tcPr>
          <w:p w14:paraId="21615B48">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Soil &amp; Vadose Zone</w:t>
            </w:r>
          </w:p>
        </w:tc>
        <w:tc>
          <w:tcPr>
            <w:tcW w:w="0" w:type="auto"/>
            <w:tcBorders>
              <w:top w:val="nil"/>
              <w:left w:val="nil"/>
              <w:bottom w:val="nil"/>
              <w:right w:val="nil"/>
            </w:tcBorders>
            <w:shd w:val="clear" w:color="auto" w:fill="auto"/>
            <w:noWrap/>
            <w:vAlign w:val="center"/>
          </w:tcPr>
          <w:p w14:paraId="2A823D39">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Dominant soil texture</w:t>
            </w:r>
          </w:p>
        </w:tc>
        <w:tc>
          <w:tcPr>
            <w:tcW w:w="0" w:type="auto"/>
            <w:tcBorders>
              <w:top w:val="nil"/>
              <w:left w:val="nil"/>
              <w:bottom w:val="nil"/>
              <w:right w:val="nil"/>
            </w:tcBorders>
            <w:shd w:val="clear" w:color="auto" w:fill="auto"/>
            <w:noWrap/>
            <w:vAlign w:val="center"/>
          </w:tcPr>
          <w:p w14:paraId="42D5CAF2">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Silt loam</w:t>
            </w:r>
          </w:p>
        </w:tc>
        <w:tc>
          <w:tcPr>
            <w:tcW w:w="0" w:type="auto"/>
            <w:tcBorders>
              <w:top w:val="nil"/>
              <w:left w:val="nil"/>
              <w:bottom w:val="nil"/>
              <w:right w:val="nil"/>
            </w:tcBorders>
            <w:shd w:val="clear" w:color="auto" w:fill="auto"/>
            <w:noWrap/>
            <w:vAlign w:val="center"/>
          </w:tcPr>
          <w:p w14:paraId="1BDDBDE4">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w:t>
            </w:r>
          </w:p>
        </w:tc>
      </w:tr>
      <w:tr w14:paraId="30DE18A9">
        <w:trPr>
          <w:trHeight w:val="336" w:hRule="atLeast"/>
          <w:jc w:val="center"/>
        </w:trPr>
        <w:tc>
          <w:tcPr>
            <w:tcW w:w="0" w:type="auto"/>
            <w:tcBorders>
              <w:top w:val="nil"/>
              <w:left w:val="nil"/>
              <w:bottom w:val="nil"/>
              <w:right w:val="nil"/>
            </w:tcBorders>
            <w:shd w:val="clear" w:color="auto" w:fill="auto"/>
            <w:noWrap/>
            <w:vAlign w:val="center"/>
          </w:tcPr>
          <w:p w14:paraId="3AE0388E">
            <w:pPr>
              <w:rPr>
                <w:rFonts w:hint="default" w:ascii="Times New Roman Regular" w:hAnsi="Times New Roman Regular" w:eastAsia="Times New Roman Regular" w:cs="Times New Roman Regular"/>
                <w:i w:val="0"/>
                <w:iCs w:val="0"/>
                <w:color w:val="0000FF"/>
                <w:sz w:val="21"/>
                <w:szCs w:val="21"/>
                <w:u w:val="none"/>
              </w:rPr>
            </w:pPr>
          </w:p>
        </w:tc>
        <w:tc>
          <w:tcPr>
            <w:tcW w:w="3229" w:type="dxa"/>
            <w:tcBorders>
              <w:top w:val="nil"/>
              <w:left w:val="nil"/>
              <w:bottom w:val="nil"/>
              <w:right w:val="nil"/>
            </w:tcBorders>
            <w:shd w:val="clear" w:color="auto" w:fill="auto"/>
            <w:vAlign w:val="center"/>
          </w:tcPr>
          <w:p w14:paraId="794287B2">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Organic N proportion in vadose zone</w:t>
            </w:r>
          </w:p>
        </w:tc>
        <w:tc>
          <w:tcPr>
            <w:tcW w:w="0" w:type="auto"/>
            <w:tcBorders>
              <w:top w:val="nil"/>
              <w:left w:val="nil"/>
              <w:bottom w:val="nil"/>
              <w:right w:val="nil"/>
            </w:tcBorders>
            <w:shd w:val="clear" w:color="auto" w:fill="auto"/>
            <w:noWrap/>
            <w:vAlign w:val="center"/>
          </w:tcPr>
          <w:p w14:paraId="309A1FF8">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~97</w:t>
            </w:r>
          </w:p>
        </w:tc>
        <w:tc>
          <w:tcPr>
            <w:tcW w:w="0" w:type="auto"/>
            <w:tcBorders>
              <w:top w:val="nil"/>
              <w:left w:val="nil"/>
              <w:bottom w:val="nil"/>
              <w:right w:val="nil"/>
            </w:tcBorders>
            <w:shd w:val="clear" w:color="auto" w:fill="auto"/>
            <w:noWrap/>
            <w:vAlign w:val="center"/>
          </w:tcPr>
          <w:p w14:paraId="0FC2F33E">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 of total N</w:t>
            </w:r>
          </w:p>
        </w:tc>
      </w:tr>
      <w:tr w14:paraId="29EA1F57">
        <w:trPr>
          <w:trHeight w:val="336" w:hRule="atLeast"/>
          <w:jc w:val="center"/>
        </w:trPr>
        <w:tc>
          <w:tcPr>
            <w:tcW w:w="0" w:type="auto"/>
            <w:tcBorders>
              <w:top w:val="nil"/>
              <w:left w:val="nil"/>
              <w:bottom w:val="nil"/>
              <w:right w:val="nil"/>
            </w:tcBorders>
            <w:shd w:val="clear" w:color="auto" w:fill="auto"/>
            <w:noWrap/>
            <w:vAlign w:val="center"/>
          </w:tcPr>
          <w:p w14:paraId="015CC58D">
            <w:pPr>
              <w:rPr>
                <w:rFonts w:hint="default" w:ascii="Times New Roman Regular" w:hAnsi="Times New Roman Regular" w:eastAsia="Times New Roman Regular" w:cs="Times New Roman Regular"/>
                <w:i w:val="0"/>
                <w:iCs w:val="0"/>
                <w:color w:val="0000FF"/>
                <w:sz w:val="21"/>
                <w:szCs w:val="21"/>
                <w:u w:val="none"/>
              </w:rPr>
            </w:pPr>
          </w:p>
        </w:tc>
        <w:tc>
          <w:tcPr>
            <w:tcW w:w="0" w:type="auto"/>
            <w:tcBorders>
              <w:top w:val="nil"/>
              <w:left w:val="nil"/>
              <w:bottom w:val="nil"/>
              <w:right w:val="nil"/>
            </w:tcBorders>
            <w:shd w:val="clear" w:color="auto" w:fill="auto"/>
            <w:noWrap/>
            <w:vAlign w:val="center"/>
          </w:tcPr>
          <w:p w14:paraId="24E65C23">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Peak nitrate storage depth</w:t>
            </w:r>
          </w:p>
        </w:tc>
        <w:tc>
          <w:tcPr>
            <w:tcW w:w="0" w:type="auto"/>
            <w:tcBorders>
              <w:top w:val="nil"/>
              <w:left w:val="nil"/>
              <w:bottom w:val="nil"/>
              <w:right w:val="nil"/>
            </w:tcBorders>
            <w:shd w:val="clear" w:color="auto" w:fill="auto"/>
            <w:noWrap/>
            <w:vAlign w:val="center"/>
          </w:tcPr>
          <w:p w14:paraId="18CA8545">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3-6</w:t>
            </w:r>
          </w:p>
        </w:tc>
        <w:tc>
          <w:tcPr>
            <w:tcW w:w="0" w:type="auto"/>
            <w:tcBorders>
              <w:top w:val="nil"/>
              <w:left w:val="nil"/>
              <w:bottom w:val="nil"/>
              <w:right w:val="nil"/>
            </w:tcBorders>
            <w:shd w:val="clear" w:color="auto" w:fill="auto"/>
            <w:noWrap/>
            <w:vAlign w:val="center"/>
          </w:tcPr>
          <w:p w14:paraId="39E7BB73">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w:t>
            </w:r>
          </w:p>
        </w:tc>
      </w:tr>
      <w:tr w14:paraId="401D8170">
        <w:trPr>
          <w:trHeight w:val="720" w:hRule="atLeast"/>
          <w:jc w:val="center"/>
        </w:trPr>
        <w:tc>
          <w:tcPr>
            <w:tcW w:w="0" w:type="auto"/>
            <w:tcBorders>
              <w:top w:val="nil"/>
              <w:left w:val="nil"/>
              <w:bottom w:val="nil"/>
              <w:right w:val="nil"/>
            </w:tcBorders>
            <w:shd w:val="clear" w:color="auto" w:fill="auto"/>
            <w:noWrap/>
            <w:vAlign w:val="center"/>
          </w:tcPr>
          <w:p w14:paraId="1196C765">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Groundwater</w:t>
            </w:r>
          </w:p>
        </w:tc>
        <w:tc>
          <w:tcPr>
            <w:tcW w:w="0" w:type="auto"/>
            <w:tcBorders>
              <w:top w:val="nil"/>
              <w:left w:val="nil"/>
              <w:bottom w:val="nil"/>
              <w:right w:val="nil"/>
            </w:tcBorders>
            <w:shd w:val="clear" w:color="auto" w:fill="auto"/>
            <w:noWrap/>
            <w:vAlign w:val="center"/>
          </w:tcPr>
          <w:p w14:paraId="019A4F01">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Aquifer type</w:t>
            </w:r>
          </w:p>
        </w:tc>
        <w:tc>
          <w:tcPr>
            <w:tcW w:w="2241" w:type="dxa"/>
            <w:tcBorders>
              <w:top w:val="nil"/>
              <w:left w:val="nil"/>
              <w:bottom w:val="nil"/>
              <w:right w:val="nil"/>
            </w:tcBorders>
            <w:shd w:val="clear" w:color="auto" w:fill="auto"/>
            <w:vAlign w:val="center"/>
          </w:tcPr>
          <w:p w14:paraId="2198890F">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Quaternary unconsolidated porous</w:t>
            </w:r>
          </w:p>
        </w:tc>
        <w:tc>
          <w:tcPr>
            <w:tcW w:w="0" w:type="auto"/>
            <w:tcBorders>
              <w:top w:val="nil"/>
              <w:left w:val="nil"/>
              <w:bottom w:val="nil"/>
              <w:right w:val="nil"/>
            </w:tcBorders>
            <w:shd w:val="clear" w:color="auto" w:fill="auto"/>
            <w:noWrap/>
            <w:vAlign w:val="center"/>
          </w:tcPr>
          <w:p w14:paraId="4D709455">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w:t>
            </w:r>
          </w:p>
        </w:tc>
      </w:tr>
      <w:tr w14:paraId="2D705EAE">
        <w:trPr>
          <w:trHeight w:val="336" w:hRule="atLeast"/>
          <w:jc w:val="center"/>
        </w:trPr>
        <w:tc>
          <w:tcPr>
            <w:tcW w:w="0" w:type="auto"/>
            <w:tcBorders>
              <w:top w:val="nil"/>
              <w:left w:val="nil"/>
              <w:bottom w:val="nil"/>
              <w:right w:val="nil"/>
            </w:tcBorders>
            <w:shd w:val="clear" w:color="auto" w:fill="auto"/>
            <w:noWrap/>
            <w:vAlign w:val="center"/>
          </w:tcPr>
          <w:p w14:paraId="74FA93E4">
            <w:pPr>
              <w:rPr>
                <w:rFonts w:hint="default" w:ascii="Times New Roman Regular" w:hAnsi="Times New Roman Regular" w:eastAsia="Times New Roman Regular" w:cs="Times New Roman Regular"/>
                <w:i w:val="0"/>
                <w:iCs w:val="0"/>
                <w:color w:val="0000FF"/>
                <w:sz w:val="21"/>
                <w:szCs w:val="21"/>
                <w:u w:val="none"/>
              </w:rPr>
            </w:pPr>
          </w:p>
        </w:tc>
        <w:tc>
          <w:tcPr>
            <w:tcW w:w="0" w:type="auto"/>
            <w:tcBorders>
              <w:top w:val="nil"/>
              <w:left w:val="nil"/>
              <w:bottom w:val="nil"/>
              <w:right w:val="nil"/>
            </w:tcBorders>
            <w:shd w:val="clear" w:color="auto" w:fill="auto"/>
            <w:noWrap/>
            <w:vAlign w:val="center"/>
          </w:tcPr>
          <w:p w14:paraId="44C420CA">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Sampling well depth</w:t>
            </w:r>
          </w:p>
        </w:tc>
        <w:tc>
          <w:tcPr>
            <w:tcW w:w="0" w:type="auto"/>
            <w:tcBorders>
              <w:top w:val="nil"/>
              <w:left w:val="nil"/>
              <w:bottom w:val="nil"/>
              <w:right w:val="nil"/>
            </w:tcBorders>
            <w:shd w:val="clear" w:color="auto" w:fill="auto"/>
            <w:noWrap/>
            <w:vAlign w:val="center"/>
          </w:tcPr>
          <w:p w14:paraId="714A55A3">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70-120</w:t>
            </w:r>
          </w:p>
        </w:tc>
        <w:tc>
          <w:tcPr>
            <w:tcW w:w="0" w:type="auto"/>
            <w:tcBorders>
              <w:top w:val="nil"/>
              <w:left w:val="nil"/>
              <w:bottom w:val="nil"/>
              <w:right w:val="nil"/>
            </w:tcBorders>
            <w:shd w:val="clear" w:color="auto" w:fill="auto"/>
            <w:noWrap/>
            <w:vAlign w:val="center"/>
          </w:tcPr>
          <w:p w14:paraId="3C57352E">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w:t>
            </w:r>
          </w:p>
        </w:tc>
      </w:tr>
      <w:tr w14:paraId="15BDE72B">
        <w:trPr>
          <w:trHeight w:val="336" w:hRule="atLeast"/>
          <w:jc w:val="center"/>
        </w:trPr>
        <w:tc>
          <w:tcPr>
            <w:tcW w:w="0" w:type="auto"/>
            <w:tcBorders>
              <w:top w:val="nil"/>
              <w:left w:val="nil"/>
              <w:bottom w:val="nil"/>
              <w:right w:val="nil"/>
            </w:tcBorders>
            <w:shd w:val="clear" w:color="auto" w:fill="auto"/>
            <w:noWrap/>
            <w:vAlign w:val="center"/>
          </w:tcPr>
          <w:p w14:paraId="48248C03">
            <w:pPr>
              <w:rPr>
                <w:rFonts w:hint="default" w:ascii="Times New Roman Regular" w:hAnsi="Times New Roman Regular" w:eastAsia="Times New Roman Regular" w:cs="Times New Roman Regular"/>
                <w:i w:val="0"/>
                <w:iCs w:val="0"/>
                <w:color w:val="0000FF"/>
                <w:sz w:val="21"/>
                <w:szCs w:val="21"/>
                <w:u w:val="none"/>
              </w:rPr>
            </w:pPr>
          </w:p>
        </w:tc>
        <w:tc>
          <w:tcPr>
            <w:tcW w:w="0" w:type="auto"/>
            <w:tcBorders>
              <w:top w:val="nil"/>
              <w:left w:val="nil"/>
              <w:bottom w:val="nil"/>
              <w:right w:val="nil"/>
            </w:tcBorders>
            <w:shd w:val="clear" w:color="auto" w:fill="auto"/>
            <w:noWrap/>
            <w:vAlign w:val="center"/>
          </w:tcPr>
          <w:p w14:paraId="162D4FA3">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Shallow water table depth</w:t>
            </w:r>
          </w:p>
        </w:tc>
        <w:tc>
          <w:tcPr>
            <w:tcW w:w="0" w:type="auto"/>
            <w:tcBorders>
              <w:top w:val="nil"/>
              <w:left w:val="nil"/>
              <w:bottom w:val="nil"/>
              <w:right w:val="nil"/>
            </w:tcBorders>
            <w:shd w:val="clear" w:color="auto" w:fill="auto"/>
            <w:noWrap/>
            <w:vAlign w:val="center"/>
          </w:tcPr>
          <w:p w14:paraId="56718608">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5.0-35.0</w:t>
            </w:r>
          </w:p>
        </w:tc>
        <w:tc>
          <w:tcPr>
            <w:tcW w:w="0" w:type="auto"/>
            <w:tcBorders>
              <w:top w:val="nil"/>
              <w:left w:val="nil"/>
              <w:bottom w:val="nil"/>
              <w:right w:val="nil"/>
            </w:tcBorders>
            <w:shd w:val="clear" w:color="auto" w:fill="auto"/>
            <w:noWrap/>
            <w:vAlign w:val="center"/>
          </w:tcPr>
          <w:p w14:paraId="69B69181">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w:t>
            </w:r>
          </w:p>
        </w:tc>
      </w:tr>
      <w:tr w14:paraId="682FA9C9">
        <w:trPr>
          <w:trHeight w:val="336" w:hRule="atLeast"/>
          <w:jc w:val="center"/>
        </w:trPr>
        <w:tc>
          <w:tcPr>
            <w:tcW w:w="0" w:type="auto"/>
            <w:tcBorders>
              <w:top w:val="nil"/>
              <w:left w:val="nil"/>
              <w:bottom w:val="nil"/>
              <w:right w:val="nil"/>
            </w:tcBorders>
            <w:shd w:val="clear" w:color="auto" w:fill="auto"/>
            <w:noWrap/>
            <w:vAlign w:val="center"/>
          </w:tcPr>
          <w:p w14:paraId="540F6EDD">
            <w:pPr>
              <w:rPr>
                <w:rFonts w:hint="default" w:ascii="Times New Roman Regular" w:hAnsi="Times New Roman Regular" w:eastAsia="Times New Roman Regular" w:cs="Times New Roman Regular"/>
                <w:i w:val="0"/>
                <w:iCs w:val="0"/>
                <w:color w:val="0000FF"/>
                <w:sz w:val="21"/>
                <w:szCs w:val="21"/>
                <w:u w:val="none"/>
              </w:rPr>
            </w:pPr>
          </w:p>
        </w:tc>
        <w:tc>
          <w:tcPr>
            <w:tcW w:w="0" w:type="auto"/>
            <w:tcBorders>
              <w:top w:val="nil"/>
              <w:left w:val="nil"/>
              <w:bottom w:val="nil"/>
              <w:right w:val="nil"/>
            </w:tcBorders>
            <w:shd w:val="clear" w:color="auto" w:fill="auto"/>
            <w:noWrap/>
            <w:vAlign w:val="center"/>
          </w:tcPr>
          <w:p w14:paraId="27EEA305">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Single-well yield</w:t>
            </w:r>
          </w:p>
        </w:tc>
        <w:tc>
          <w:tcPr>
            <w:tcW w:w="0" w:type="auto"/>
            <w:tcBorders>
              <w:top w:val="nil"/>
              <w:left w:val="nil"/>
              <w:bottom w:val="nil"/>
              <w:right w:val="nil"/>
            </w:tcBorders>
            <w:shd w:val="clear" w:color="auto" w:fill="auto"/>
            <w:noWrap/>
            <w:vAlign w:val="center"/>
          </w:tcPr>
          <w:p w14:paraId="4E6B6181">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1,000-3,000</w:t>
            </w:r>
          </w:p>
        </w:tc>
        <w:tc>
          <w:tcPr>
            <w:tcW w:w="0" w:type="auto"/>
            <w:tcBorders>
              <w:top w:val="nil"/>
              <w:left w:val="nil"/>
              <w:bottom w:val="nil"/>
              <w:right w:val="nil"/>
            </w:tcBorders>
            <w:shd w:val="clear" w:color="auto" w:fill="auto"/>
            <w:noWrap/>
            <w:vAlign w:val="center"/>
          </w:tcPr>
          <w:p w14:paraId="2139E569">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lang w:val="en-US"/>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m</w:t>
            </w:r>
            <w:r>
              <w:rPr>
                <w:rFonts w:hint="eastAsia" w:ascii="Times New Roman Regular" w:hAnsi="Times New Roman Regular" w:eastAsia="Times New Roman Regular" w:cs="Times New Roman Regular"/>
                <w:i w:val="0"/>
                <w:iCs w:val="0"/>
                <w:color w:val="0000FF"/>
                <w:kern w:val="0"/>
                <w:sz w:val="21"/>
                <w:szCs w:val="21"/>
                <w:u w:val="none"/>
                <w:vertAlign w:val="superscript"/>
                <w:lang w:val="en-US" w:eastAsia="zh-CN" w:bidi="ar"/>
              </w:rPr>
              <w:t>3</w:t>
            </w: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 xml:space="preserve"> d</w:t>
            </w:r>
            <w:r>
              <w:rPr>
                <w:rFonts w:hint="eastAsia" w:ascii="Times New Roman Regular" w:hAnsi="Times New Roman Regular" w:eastAsia="Times New Roman Regular" w:cs="Times New Roman Regular"/>
                <w:i w:val="0"/>
                <w:iCs w:val="0"/>
                <w:color w:val="0000FF"/>
                <w:kern w:val="0"/>
                <w:sz w:val="21"/>
                <w:szCs w:val="21"/>
                <w:u w:val="none"/>
                <w:vertAlign w:val="superscript"/>
                <w:lang w:val="en-US" w:eastAsia="zh-CN" w:bidi="ar"/>
              </w:rPr>
              <w:t>-1</w:t>
            </w:r>
          </w:p>
        </w:tc>
      </w:tr>
      <w:tr w14:paraId="23882B0D">
        <w:trPr>
          <w:trHeight w:val="336" w:hRule="atLeast"/>
          <w:jc w:val="center"/>
        </w:trPr>
        <w:tc>
          <w:tcPr>
            <w:tcW w:w="0" w:type="auto"/>
            <w:tcBorders>
              <w:top w:val="nil"/>
              <w:left w:val="nil"/>
              <w:bottom w:val="nil"/>
              <w:right w:val="nil"/>
            </w:tcBorders>
            <w:shd w:val="clear" w:color="auto" w:fill="auto"/>
            <w:noWrap/>
            <w:vAlign w:val="center"/>
          </w:tcPr>
          <w:p w14:paraId="23DD4477">
            <w:pPr>
              <w:rPr>
                <w:rFonts w:hint="default" w:ascii="Times New Roman Regular" w:hAnsi="Times New Roman Regular" w:eastAsia="Times New Roman Regular" w:cs="Times New Roman Regular"/>
                <w:i w:val="0"/>
                <w:iCs w:val="0"/>
                <w:color w:val="0000FF"/>
                <w:sz w:val="21"/>
                <w:szCs w:val="21"/>
                <w:u w:val="none"/>
              </w:rPr>
            </w:pPr>
          </w:p>
        </w:tc>
        <w:tc>
          <w:tcPr>
            <w:tcW w:w="0" w:type="auto"/>
            <w:tcBorders>
              <w:top w:val="nil"/>
              <w:left w:val="nil"/>
              <w:bottom w:val="nil"/>
              <w:right w:val="nil"/>
            </w:tcBorders>
            <w:shd w:val="clear" w:color="auto" w:fill="auto"/>
            <w:noWrap/>
            <w:vAlign w:val="center"/>
          </w:tcPr>
          <w:p w14:paraId="7C56DB86">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Dominant recharge source</w:t>
            </w:r>
          </w:p>
        </w:tc>
        <w:tc>
          <w:tcPr>
            <w:tcW w:w="0" w:type="auto"/>
            <w:tcBorders>
              <w:top w:val="nil"/>
              <w:left w:val="nil"/>
              <w:bottom w:val="nil"/>
              <w:right w:val="nil"/>
            </w:tcBorders>
            <w:shd w:val="clear" w:color="auto" w:fill="auto"/>
            <w:noWrap/>
            <w:vAlign w:val="center"/>
          </w:tcPr>
          <w:p w14:paraId="1D8E9D3C">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Precipitation infiltration</w:t>
            </w:r>
          </w:p>
        </w:tc>
        <w:tc>
          <w:tcPr>
            <w:tcW w:w="0" w:type="auto"/>
            <w:tcBorders>
              <w:top w:val="nil"/>
              <w:left w:val="nil"/>
              <w:bottom w:val="nil"/>
              <w:right w:val="nil"/>
            </w:tcBorders>
            <w:shd w:val="clear" w:color="auto" w:fill="auto"/>
            <w:noWrap/>
            <w:vAlign w:val="center"/>
          </w:tcPr>
          <w:p w14:paraId="0EBA82DB">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w:t>
            </w:r>
          </w:p>
        </w:tc>
      </w:tr>
      <w:tr w14:paraId="3D5581A1">
        <w:trPr>
          <w:trHeight w:val="336" w:hRule="atLeast"/>
          <w:jc w:val="center"/>
        </w:trPr>
        <w:tc>
          <w:tcPr>
            <w:tcW w:w="0" w:type="auto"/>
            <w:tcBorders>
              <w:top w:val="nil"/>
              <w:left w:val="nil"/>
              <w:bottom w:val="single" w:color="auto" w:sz="4" w:space="0"/>
              <w:right w:val="nil"/>
            </w:tcBorders>
            <w:shd w:val="clear" w:color="auto" w:fill="auto"/>
            <w:noWrap/>
            <w:vAlign w:val="center"/>
          </w:tcPr>
          <w:p w14:paraId="5EDEDF08">
            <w:pPr>
              <w:rPr>
                <w:rFonts w:hint="default" w:ascii="Times New Roman Regular" w:hAnsi="Times New Roman Regular" w:eastAsia="Times New Roman Regular" w:cs="Times New Roman Regular"/>
                <w:i w:val="0"/>
                <w:iCs w:val="0"/>
                <w:color w:val="0000FF"/>
                <w:sz w:val="21"/>
                <w:szCs w:val="21"/>
                <w:u w:val="none"/>
              </w:rPr>
            </w:pPr>
          </w:p>
        </w:tc>
        <w:tc>
          <w:tcPr>
            <w:tcW w:w="0" w:type="auto"/>
            <w:tcBorders>
              <w:top w:val="nil"/>
              <w:left w:val="nil"/>
              <w:bottom w:val="single" w:color="auto" w:sz="4" w:space="0"/>
              <w:right w:val="nil"/>
            </w:tcBorders>
            <w:shd w:val="clear" w:color="auto" w:fill="auto"/>
            <w:noWrap/>
            <w:vAlign w:val="center"/>
          </w:tcPr>
          <w:p w14:paraId="25143EFF">
            <w:pPr>
              <w:keepNext w:val="0"/>
              <w:keepLines w:val="0"/>
              <w:widowControl/>
              <w:suppressLineNumbers w:val="0"/>
              <w:jc w:val="lef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Dominant discharge pathway</w:t>
            </w:r>
          </w:p>
        </w:tc>
        <w:tc>
          <w:tcPr>
            <w:tcW w:w="0" w:type="auto"/>
            <w:tcBorders>
              <w:top w:val="nil"/>
              <w:left w:val="nil"/>
              <w:bottom w:val="single" w:color="auto" w:sz="4" w:space="0"/>
              <w:right w:val="nil"/>
            </w:tcBorders>
            <w:shd w:val="clear" w:color="auto" w:fill="auto"/>
            <w:noWrap/>
            <w:vAlign w:val="center"/>
          </w:tcPr>
          <w:p w14:paraId="11B766D7">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Agricultural extraction</w:t>
            </w:r>
          </w:p>
        </w:tc>
        <w:tc>
          <w:tcPr>
            <w:tcW w:w="0" w:type="auto"/>
            <w:tcBorders>
              <w:top w:val="nil"/>
              <w:left w:val="nil"/>
              <w:bottom w:val="single" w:color="auto" w:sz="4" w:space="0"/>
              <w:right w:val="nil"/>
            </w:tcBorders>
            <w:shd w:val="clear" w:color="auto" w:fill="auto"/>
            <w:noWrap/>
            <w:vAlign w:val="center"/>
          </w:tcPr>
          <w:p w14:paraId="6BF92EA7">
            <w:pPr>
              <w:keepNext w:val="0"/>
              <w:keepLines w:val="0"/>
              <w:widowControl/>
              <w:suppressLineNumbers w:val="0"/>
              <w:jc w:val="right"/>
              <w:textAlignment w:val="center"/>
              <w:rPr>
                <w:rFonts w:hint="default" w:ascii="Times New Roman Regular" w:hAnsi="Times New Roman Regular" w:eastAsia="Times New Roman Regular" w:cs="Times New Roman Regular"/>
                <w:i w:val="0"/>
                <w:iCs w:val="0"/>
                <w:color w:val="0000FF"/>
                <w:sz w:val="21"/>
                <w:szCs w:val="21"/>
                <w:u w:val="none"/>
              </w:rPr>
            </w:pPr>
            <w:r>
              <w:rPr>
                <w:rFonts w:hint="default" w:ascii="Times New Roman Regular" w:hAnsi="Times New Roman Regular" w:eastAsia="Times New Roman Regular" w:cs="Times New Roman Regular"/>
                <w:i w:val="0"/>
                <w:iCs w:val="0"/>
                <w:color w:val="0000FF"/>
                <w:kern w:val="0"/>
                <w:sz w:val="21"/>
                <w:szCs w:val="21"/>
                <w:u w:val="none"/>
                <w:lang w:val="en-US" w:eastAsia="zh-CN" w:bidi="ar"/>
              </w:rPr>
              <w:t>—</w:t>
            </w:r>
          </w:p>
        </w:tc>
      </w:tr>
    </w:tbl>
    <w:p w14:paraId="1AEBD536">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p>
    <w:p w14:paraId="3EAA3493">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p>
    <w:p w14:paraId="74EAE2E0">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Page 4, Lines 12</w:t>
      </w:r>
      <w:r>
        <w:rPr>
          <w:rFonts w:hint="default" w:ascii="Times New Roman Regular" w:hAnsi="Times New Roman Regular" w:cs="Times New Roman Regular"/>
          <w:lang w:val="en-US" w:eastAsia="zh-CN"/>
        </w:rPr>
        <w:t xml:space="preserve">. </w:t>
      </w:r>
      <w:r>
        <w:rPr>
          <w:rFonts w:hint="default" w:ascii="Times New Roman Regular" w:hAnsi="Times New Roman Regular" w:cs="Times New Roman Regular" w:eastAsiaTheme="minorEastAsia"/>
          <w:lang w:val="en-US" w:eastAsia="zh-CN"/>
        </w:rPr>
        <w:t>The manuscript does not adequately describe Data temporal resolution. Data completeness. Missing data handling procedures. Quality control protocols.</w:t>
      </w:r>
    </w:p>
    <w:p w14:paraId="2593762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If interpolation or smoothing was applied, it must be explicitly stated. Reproducibility requires transparent preprocessing documentation.</w:t>
      </w:r>
    </w:p>
    <w:p w14:paraId="417DFF02">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p>
    <w:p w14:paraId="4B244E82">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sincerely thank the reviewer for pointing out the need for more detailed documentation regarding data temporal resolution, completeness, missing data handling, quality control (QC) protocols, and preprocessing transparency. We agree that these details are crucial for reproducibility.</w:t>
      </w:r>
    </w:p>
    <w:p w14:paraId="69B900F6">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In the revised manuscript, we have made the following modifications to address these concerns:</w:t>
      </w:r>
    </w:p>
    <w:p w14:paraId="6CF67376">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Data Temporal Resolution: We explicitly clarified that groundwater data represents seasonal snapshots, while AlphaEarth Foundation (AEF) data provides annual temporal resolution.</w:t>
      </w:r>
    </w:p>
    <w:p w14:paraId="73C197F6">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Data Completeness &amp; Missing Data: We added a statement confirming that samples with incomplete records were excluded prior to modeling, ensuring 100% completeness in the final dataset, and clarified that no imputation was used for raw data.</w:t>
      </w:r>
    </w:p>
    <w:p w14:paraId="1824B146">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Interpolation/Smoothing: We explicitly stated that no interpolation or smoothing was applied to the original observational data to preserve raw variability. The only exception is the spatial visualization of nitrate concentration distributions, where ordinary Kriging interpolation was applied solely for mapping purposes using Surfer software (Golden Software, LLC). This interpolation was not used for data augmentation, missing value imputation, or model input generation. Virtual sample generation is strictly for augmentation, not filling missing values.</w:t>
      </w:r>
    </w:p>
    <w:p w14:paraId="4702913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Preprocessing Documentation: We enhanced the preprocessing workflow description to ensure transparency and reproducibility (Section 2.</w:t>
      </w:r>
      <w:r>
        <w:rPr>
          <w:rFonts w:hint="eastAsia" w:ascii="Times New Roman Regular" w:hAnsi="Times New Roman Regular" w:cs="Times New Roman Regular"/>
          <w:color w:val="0000FF"/>
          <w:lang w:val="en-US" w:eastAsia="zh-CN"/>
        </w:rPr>
        <w:t>7.4</w:t>
      </w:r>
      <w:r>
        <w:rPr>
          <w:rFonts w:hint="default" w:ascii="Times New Roman Regular" w:hAnsi="Times New Roman Regular" w:cs="Times New Roman Regular" w:eastAsiaTheme="minorEastAsia"/>
          <w:color w:val="0000FF"/>
          <w:lang w:val="en-US" w:eastAsia="zh-CN"/>
        </w:rPr>
        <w:t>).</w:t>
      </w:r>
    </w:p>
    <w:p w14:paraId="066FF30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p>
    <w:p w14:paraId="09EE12C8">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7E701739">
      <w:pPr>
        <w:spacing w:line="300" w:lineRule="auto"/>
        <w:outlineLvl w:val="1"/>
        <w:rPr>
          <w:rFonts w:ascii="Times New Roman Regular" w:hAnsi="Times New Roman Regular" w:cs="Times New Roman Regular"/>
          <w:color w:val="0000FF"/>
        </w:rPr>
      </w:pPr>
      <w:r>
        <w:rPr>
          <w:rFonts w:ascii="Times New Roman Regular" w:hAnsi="Times New Roman Regular" w:cs="Times New Roman Regular"/>
          <w:color w:val="0000FF"/>
        </w:rPr>
        <w:t xml:space="preserve">2.2 </w:t>
      </w:r>
      <w:r>
        <w:rPr>
          <w:rFonts w:hint="eastAsia" w:ascii="Times New Roman Regular" w:hAnsi="Times New Roman Regular" w:cs="Times New Roman Regular"/>
          <w:color w:val="0000FF"/>
        </w:rPr>
        <w:t xml:space="preserve">Data </w:t>
      </w:r>
      <w:r>
        <w:rPr>
          <w:rFonts w:ascii="Times New Roman Regular" w:hAnsi="Times New Roman Regular" w:cs="Times New Roman Regular"/>
          <w:color w:val="0000FF"/>
        </w:rPr>
        <w:t>collection and measurements</w:t>
      </w:r>
    </w:p>
    <w:p w14:paraId="2D37ED2E">
      <w:pPr>
        <w:spacing w:line="300" w:lineRule="auto"/>
        <w:outlineLvl w:val="2"/>
        <w:rPr>
          <w:rFonts w:ascii="Times New Roman Regular" w:hAnsi="Times New Roman Regular" w:cs="Times New Roman Regular"/>
          <w:color w:val="0000FF"/>
        </w:rPr>
      </w:pPr>
      <w:r>
        <w:rPr>
          <w:rFonts w:hint="eastAsia" w:ascii="Times New Roman Regular" w:hAnsi="Times New Roman Regular" w:cs="Times New Roman Regular"/>
          <w:color w:val="0000FF"/>
        </w:rPr>
        <w:t xml:space="preserve">2.2.1 </w:t>
      </w:r>
      <w:r>
        <w:rPr>
          <w:rFonts w:ascii="Times New Roman Regular" w:hAnsi="Times New Roman Regular" w:cs="Times New Roman Regular"/>
          <w:color w:val="0000FF"/>
        </w:rPr>
        <w:t xml:space="preserve">Field </w:t>
      </w:r>
      <w:r>
        <w:rPr>
          <w:rFonts w:hint="eastAsia" w:ascii="Times New Roman Regular" w:hAnsi="Times New Roman Regular" w:cs="Times New Roman Regular"/>
          <w:color w:val="0000FF"/>
        </w:rPr>
        <w:t>sampling data and laboratory analysis</w:t>
      </w:r>
    </w:p>
    <w:p w14:paraId="5592C0C5">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 xml:space="preserve">Field investigations and the collection of hydrochemical and isotopic samples were conducted in the study area from 2022 to 2023. </w:t>
      </w:r>
      <w:r>
        <w:rPr>
          <w:rFonts w:hint="eastAsia" w:ascii="Times New Roman Regular" w:hAnsi="Times New Roman Regular" w:cs="Times New Roman Regular"/>
          <w:color w:val="0000FF"/>
        </w:rPr>
        <w:t>The temporal resolution for groundwater sampling was designed as seasonal snapshots, with campaigns occurring in October 2022 (normal season), April 2023 (dry season), and August 2023 (wet season), representing a temporal interval of approximately 4-6 months between surveys</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A total of 66, 65, and 50 groundwater samples were collected in October 2022, April 2023, and August 2023, respectively. All groundwater samples were obtained from existing agricultural irrigation wells within the study area.</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Prior to sample collection, each well was purged by pumping. Sampling commenced only after the pumped volume exceeded three times the well's casing volume and on-site parameters had stabilized (i.e., showing minor fluctuations around a constant value rather than a continuous rising or falling trend), a procedure implemented to ensure the representativeness of the samples.</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At each sampling point, one 1000 mL and two 100 mL samples were collected. Before final collection, the sample bottles were rinsed three times with the water to be sampled. Immediately after collection, the samples were sealed and stored in a portable cooler for transport to the laboratory for subsequent analysis. Furthermore, the precise geographical location of each sampling point was recorded using a GPS device.</w:t>
      </w:r>
      <w:r>
        <w:rPr>
          <w:rFonts w:hint="default" w:ascii="Times New Roman Regular" w:hAnsi="Times New Roman Regular" w:cs="Times New Roman Regular"/>
          <w:color w:val="0000FF"/>
          <w:lang w:val="en-US"/>
        </w:rPr>
        <w:t xml:space="preserve"> Regarding data completeness and missing data handling, all collected samples underwent rigorous screening. Samples with incomplete physicochemical records or those failing initial quality checks were excluded from the final dataset. Consequently, the modeling dataset achieved 100% completeness with no missing values requiring imputation or interpolation.</w:t>
      </w:r>
    </w:p>
    <w:p w14:paraId="3999F810">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In-situ physicochemical parameters were measured using a Hach HQ400 multi-parameter water quality meter (</w:t>
      </w:r>
      <w:r>
        <w:rPr>
          <w:rFonts w:ascii="Times New Roman Regular" w:hAnsi="Times New Roman Regular" w:cs="Times New Roman Regular"/>
          <w:color w:val="0000FF"/>
        </w:rPr>
        <w:t>Li et al., 2022). The measured parameters included water temperature (T, °C), pH, total dissolved solids (TDS, mg</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L</w:t>
      </w:r>
      <w:r>
        <w:rPr>
          <w:rFonts w:hint="eastAsia" w:ascii="Times New Roman Regular" w:hAnsi="Times New Roman Regular" w:cs="Times New Roman Regular"/>
          <w:color w:val="0000FF"/>
          <w:vertAlign w:val="superscript"/>
        </w:rPr>
        <w:t>-1</w:t>
      </w:r>
      <w:r>
        <w:rPr>
          <w:rFonts w:ascii="Times New Roman Regular" w:hAnsi="Times New Roman Regular" w:cs="Times New Roman Regular"/>
          <w:color w:val="0000FF"/>
        </w:rPr>
        <w:t>), dissolved oxygen (DO, mg</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L</w:t>
      </w:r>
      <w:r>
        <w:rPr>
          <w:rFonts w:hint="eastAsia" w:ascii="Times New Roman Regular" w:hAnsi="Times New Roman Regular" w:cs="Times New Roman Regular"/>
          <w:color w:val="0000FF"/>
          <w:vertAlign w:val="superscript"/>
        </w:rPr>
        <w:t>-1</w:t>
      </w:r>
      <w:r>
        <w:rPr>
          <w:rFonts w:ascii="Times New Roman Regular" w:hAnsi="Times New Roman Regular" w:cs="Times New Roman Regular"/>
          <w:color w:val="0000FF"/>
        </w:rPr>
        <w:t>), electrical conductivity (EC, μS</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cm</w:t>
      </w:r>
      <w:r>
        <w:rPr>
          <w:rFonts w:hint="eastAsia" w:ascii="Times New Roman Regular" w:hAnsi="Times New Roman Regular" w:cs="Times New Roman Regular"/>
          <w:color w:val="0000FF"/>
          <w:vertAlign w:val="superscript"/>
        </w:rPr>
        <w:t>-1</w:t>
      </w:r>
      <w:r>
        <w:rPr>
          <w:rFonts w:ascii="Times New Roman Regular" w:hAnsi="Times New Roman Regular" w:cs="Times New Roman Regular"/>
          <w:color w:val="0000FF"/>
        </w:rPr>
        <w:t xml:space="preserve">), and oxidation-reduction potential (ORP, mV). </w:t>
      </w:r>
      <w:r>
        <w:rPr>
          <w:rFonts w:hint="eastAsia" w:ascii="Times New Roman Regular" w:hAnsi="Times New Roman Regular" w:cs="Times New Roman Regular"/>
          <w:color w:val="0000FF"/>
        </w:rPr>
        <w:t>These parameters can be acquired rapidly in the field with minimal sample preparation, offering a practical advantage over laboratory-based nitrate determination which requires sample preservation, transportation, and longer analytical processing times. This operational efficiency motivates the use of field-measurable parameters as predictors for preliminary nitrate concentration estimation.</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The concentration of HCO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was determined within 24 hours of sample collection using the dilute sulfuric acid-methyl orange titration method (</w:t>
      </w:r>
      <w:r>
        <w:rPr>
          <w:rFonts w:ascii="Times New Roman Regular" w:hAnsi="Times New Roman Regular" w:cs="Times New Roman Regular"/>
          <w:color w:val="0000FF"/>
        </w:rPr>
        <w:t>Huang et al., 2012). Prior to the determination of cations and anions, water samples were filtered through 0.45 μm membrane filters. Major cations (K</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Ca</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Na</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Mg</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were analyzed using an inductively coupled plasma optical emission spectrometer (Avio 500). Major anions (NO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Cl</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SO</w:t>
      </w:r>
      <w:r>
        <w:rPr>
          <w:rFonts w:ascii="Times New Roman Regular" w:hAnsi="Times New Roman Regular" w:cs="Times New Roman Regular"/>
          <w:color w:val="0000FF"/>
          <w:vertAlign w:val="subscript"/>
        </w:rPr>
        <w:t>4</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were analyzed using an ion chromatograph (ICS-2100). The analytical precision for cations and anions was controlled within ±0.2 mg L</w:t>
      </w:r>
      <w:r>
        <w:rPr>
          <w:rFonts w:ascii="Times New Roman Regular" w:hAnsi="Times New Roman Regular" w:cs="Times New Roman Regular"/>
          <w:color w:val="0000FF"/>
          <w:vertAlign w:val="superscript"/>
        </w:rPr>
        <w:t>-1</w:t>
      </w:r>
      <w:r>
        <w:rPr>
          <w:rFonts w:ascii="Times New Roman Regular" w:hAnsi="Times New Roman Regular" w:cs="Times New Roman Regular"/>
          <w:color w:val="0000FF"/>
        </w:rPr>
        <w:t>, and the charge balance error was maintained within 5% to ensure reliability. The concentrations of nitrite nitrogen and ammonia nitrogen were determined using a flow injection analyzer (Smartchem 200, AMS Alliance)</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 xml:space="preserve">and measured using dual wavelength spectrophotometry and the indophenol blue method </w:t>
      </w:r>
      <w:r>
        <w:rPr>
          <w:rFonts w:ascii="Times New Roman Regular" w:hAnsi="Times New Roman Regular" w:cs="Times New Roman Regular"/>
          <w:color w:val="0000FF"/>
        </w:rPr>
        <w:t>(</w:t>
      </w:r>
      <w:r>
        <w:rPr>
          <w:rFonts w:ascii="Times New Roman Regular" w:hAnsi="Times New Roman Regular" w:cs="Times New Roman Regular"/>
          <w:color w:val="0000FF"/>
        </w:rPr>
        <w:t>Kim et al., 2019</w:t>
      </w:r>
      <w:r>
        <w:rPr>
          <w:rFonts w:hint="default" w:ascii="Times New Roman Regular" w:hAnsi="Times New Roman Regular" w:cs="Times New Roman Regular"/>
          <w:color w:val="0000FF"/>
          <w:lang w:val="en-US"/>
        </w:rPr>
        <w:t>; Sun et al., 2022</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The limits of detection for nitrite nitrogen and ammonium nitrogen were both 0.01 mg L</w:t>
      </w:r>
      <w:r>
        <w:rPr>
          <w:rFonts w:hint="eastAsia" w:ascii="Times New Roman Regular" w:hAnsi="Times New Roman Regular" w:cs="Times New Roman Regular"/>
          <w:color w:val="0000FF"/>
          <w:vertAlign w:val="superscript"/>
          <w:lang w:val="en-US" w:eastAsia="zh-CN"/>
        </w:rPr>
        <w:t>-1</w:t>
      </w:r>
      <w:r>
        <w:rPr>
          <w:rFonts w:hint="eastAsia"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For the analysis of stable hydrogen and oxygen isotopes, water samples were filtered through 0.22 μm membrane filters and measured using an LGR liquid water isotope analyzer (TIWA-45-EP). The analytical precisions for δ</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H, δ</w:t>
      </w:r>
      <w:r>
        <w:rPr>
          <w:rFonts w:ascii="Times New Roman Regular" w:hAnsi="Times New Roman Regular" w:cs="Times New Roman Regular"/>
          <w:color w:val="0000FF"/>
          <w:vertAlign w:val="superscript"/>
        </w:rPr>
        <w:t>17</w:t>
      </w:r>
      <w:r>
        <w:rPr>
          <w:rFonts w:ascii="Times New Roman Regular" w:hAnsi="Times New Roman Regular" w:cs="Times New Roman Regular"/>
          <w:color w:val="0000FF"/>
        </w:rPr>
        <w:t>O, and δ</w:t>
      </w:r>
      <w:r>
        <w:rPr>
          <w:rFonts w:ascii="Times New Roman Regular" w:hAnsi="Times New Roman Regular" w:cs="Times New Roman Regular"/>
          <w:color w:val="0000FF"/>
          <w:vertAlign w:val="superscript"/>
        </w:rPr>
        <w:t>18</w:t>
      </w:r>
      <w:r>
        <w:rPr>
          <w:rFonts w:ascii="Times New Roman Regular" w:hAnsi="Times New Roman Regular" w:cs="Times New Roman Regular"/>
          <w:color w:val="0000FF"/>
        </w:rPr>
        <w:t>O were ±0.15‰, ±0.02‰, and ±0.02‰, respectively (</w:t>
      </w:r>
      <w:r>
        <w:rPr>
          <w:rFonts w:ascii="Times New Roman Regular" w:hAnsi="Times New Roman Regular" w:cs="Times New Roman Regular"/>
          <w:color w:val="0000FF"/>
        </w:rPr>
        <w:t>Hamidi et al., 2023). The isotopic compositions of nitrate (δ</w:t>
      </w:r>
      <w:r>
        <w:rPr>
          <w:rFonts w:ascii="Times New Roman Regular" w:hAnsi="Times New Roman Regular" w:cs="Times New Roman Regular"/>
          <w:color w:val="0000FF"/>
          <w:vertAlign w:val="superscript"/>
        </w:rPr>
        <w:t>18</w:t>
      </w:r>
      <w:r>
        <w:rPr>
          <w:rFonts w:ascii="Times New Roman Regular" w:hAnsi="Times New Roman Regular" w:cs="Times New Roman Regular"/>
          <w:color w:val="0000FF"/>
        </w:rPr>
        <w:t>O-NO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and δ</w:t>
      </w:r>
      <w:r>
        <w:rPr>
          <w:rFonts w:ascii="Times New Roman Regular" w:hAnsi="Times New Roman Regular" w:cs="Times New Roman Regular"/>
          <w:color w:val="0000FF"/>
          <w:vertAlign w:val="superscript"/>
        </w:rPr>
        <w:t>15</w:t>
      </w:r>
      <w:r>
        <w:rPr>
          <w:rFonts w:ascii="Times New Roman Regular" w:hAnsi="Times New Roman Regular" w:cs="Times New Roman Regular"/>
          <w:color w:val="0000FF"/>
        </w:rPr>
        <w:t>N-NO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were determined using a MAT-253 mass spectrometer coupled with an elemental analyzer (</w:t>
      </w:r>
      <w:r>
        <w:rPr>
          <w:rFonts w:ascii="Times New Roman Regular" w:hAnsi="Times New Roman Regular" w:cs="Times New Roman Regular"/>
          <w:color w:val="0000FF"/>
        </w:rPr>
        <w:t>Li et al., 2022). To ensure analytical precision, standard references, reagent blanks, and duplicate samples were employed. Furthermore, international standards USGS 34 and USGS 35 were used for δ</w:t>
      </w:r>
      <w:r>
        <w:rPr>
          <w:rFonts w:ascii="Times New Roman Regular" w:hAnsi="Times New Roman Regular" w:cs="Times New Roman Regular"/>
          <w:color w:val="0000FF"/>
          <w:vertAlign w:val="superscript"/>
        </w:rPr>
        <w:t>18</w:t>
      </w:r>
      <w:r>
        <w:rPr>
          <w:rFonts w:ascii="Times New Roman Regular" w:hAnsi="Times New Roman Regular" w:cs="Times New Roman Regular"/>
          <w:color w:val="0000FF"/>
        </w:rPr>
        <w:t>O quality control, while USGS 32 and USGS 34 were used for δ</w:t>
      </w:r>
      <w:r>
        <w:rPr>
          <w:rFonts w:ascii="Times New Roman Regular" w:hAnsi="Times New Roman Regular" w:cs="Times New Roman Regular"/>
          <w:color w:val="0000FF"/>
          <w:vertAlign w:val="superscript"/>
        </w:rPr>
        <w:t>15</w:t>
      </w:r>
      <w:r>
        <w:rPr>
          <w:rFonts w:ascii="Times New Roman Regular" w:hAnsi="Times New Roman Regular" w:cs="Times New Roman Regular"/>
          <w:color w:val="0000FF"/>
        </w:rPr>
        <w:t>N quality control. All isotope results are reported in per mil (δ, ‰).</w:t>
      </w:r>
      <w:r>
        <w:rPr>
          <w:rFonts w:hint="default" w:ascii="Times New Roman Regular" w:hAnsi="Times New Roman Regular" w:cs="Times New Roman Regular"/>
          <w:color w:val="0000FF"/>
          <w:lang w:val="en-US"/>
        </w:rPr>
        <w:t xml:space="preserve"> No interpolation or smoothing techniques were applied to the raw hydrochemical data to preserve the inherent variability of the groundwater system. The sole exception was the spatial visualization of nitrate concentration distributions(</w:t>
      </w:r>
      <w:r>
        <w:rPr>
          <w:rFonts w:hint="default" w:ascii="Times New Roman Regular" w:hAnsi="Times New Roman Regular" w:cs="Times New Roman Regular"/>
          <w:color w:val="0000FF"/>
          <w:lang w:val="en-US"/>
        </w:rPr>
        <w:t>Fig.7), where ordinary Kriging interpolation was applied exclusively for cartographic representation using Surfer software(Golden Software, LLC). This interpolation was used solely for generating continuous surface maps and was not employed for data augmentation, missing value imputation, or model input generation.</w:t>
      </w:r>
    </w:p>
    <w:p w14:paraId="0ED824D3">
      <w:pPr>
        <w:spacing w:line="300" w:lineRule="auto"/>
        <w:rPr>
          <w:rFonts w:ascii="Times New Roman Regular" w:hAnsi="Times New Roman Regular" w:cs="Times New Roman Regular"/>
          <w:color w:val="0000FF"/>
        </w:rPr>
      </w:pPr>
    </w:p>
    <w:p w14:paraId="15095BCA">
      <w:pPr>
        <w:spacing w:line="300" w:lineRule="auto"/>
        <w:outlineLvl w:val="2"/>
        <w:rPr>
          <w:rFonts w:ascii="Times New Roman Regular" w:hAnsi="Times New Roman Regular" w:cs="Times New Roman Regular"/>
          <w:color w:val="0000FF"/>
        </w:rPr>
      </w:pPr>
      <w:r>
        <w:rPr>
          <w:rFonts w:hint="eastAsia" w:ascii="Times New Roman Regular" w:hAnsi="Times New Roman Regular" w:cs="Times New Roman Regular"/>
          <w:color w:val="0000FF"/>
        </w:rPr>
        <w:t xml:space="preserve">2.2.2 Google </w:t>
      </w:r>
      <w:r>
        <w:rPr>
          <w:rFonts w:ascii="Times New Roman Regular" w:hAnsi="Times New Roman Regular" w:cs="Times New Roman Regular"/>
          <w:color w:val="0000FF"/>
        </w:rPr>
        <w:t>AlphaEarth Foundation</w:t>
      </w:r>
    </w:p>
    <w:p w14:paraId="23132382">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To facilitate comparisons with predictions based on in-situ field sampling data and to validate the accuracy of predicting groundwater nitrate concentration using remote sensing data, this study incorporates the Google AlphaEarth Foundation (AEF) dataset. AEF is a collection of high-dimensional surface semantic embedding features generated via pre-training on multi-source remote sensing data</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Brown et al., 2025)</w:t>
      </w:r>
      <w:r>
        <w:rPr>
          <w:rFonts w:hint="eastAsia" w:ascii="Times New Roman Regular" w:hAnsi="Times New Roman Regular" w:cs="Times New Roman Regular"/>
          <w:color w:val="0000FF"/>
        </w:rPr>
        <w:t>. By fusing imagery from Sentinel-2, Landsat, and other Earth observation satellites, this dataset constructs a 64-dimensional vector representation (denoted as A00-A63) at a global scale with an annual temporal resolution and a 10 m spatial resolution</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Alvarez et al., 2025)</w:t>
      </w:r>
      <w:r>
        <w:rPr>
          <w:rFonts w:hint="eastAsia" w:ascii="Times New Roman Regular" w:hAnsi="Times New Roman Regular" w:cs="Times New Roman Regular"/>
          <w:color w:val="0000FF"/>
        </w:rPr>
        <w:t>. This annual temporal resolution provides consistent surface context for each hydrological year, complementing the seasonal groundwater snapshots. These embeddings implicitly encode complex environmental semantics, such as land cover types, vegetation dynamics, soil moisture, and the intensity of human activity, and have been successfully applied in tasks including land use classification, crop monitoring, and environmental risk modeling</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Tollefson et al., 2025)</w:t>
      </w:r>
      <w:r>
        <w:rPr>
          <w:rFonts w:hint="eastAsia" w:ascii="Times New Roman Regular" w:hAnsi="Times New Roman Regular" w:cs="Times New Roman Regular"/>
          <w:color w:val="0000FF"/>
        </w:rPr>
        <w:t>.</w:t>
      </w:r>
    </w:p>
    <w:p w14:paraId="304604E0">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The primary processing workflow involved spatially sampling the 64-dimensional AEF vectors at a 10 m resolution using the GOOGLE/SATELLITE_EMBEDDING/V1/ANNUAL product on the Google Earth Engine (GEE) platform, based on the geographic coordinates of the field sampling points. To ensure data quality, only samples exhibiting exact matches between the GEE extraction and the actual field data points were retained. Any pixels with significant cloud cover or data gaps in the underlying satellite imagery were automatically handled by the AEF pre-processing pipeline, ensuring complete feature vectors for all sampling locations.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Given the redundancy within the initial 64-dimensional AEF features, Principal Component Analysis (PCA) based on Singular Value Decomposition (SVD) was employed for feature compression. Specifically, SVD was performed on the centered feature matrix to select the minimum number of principal components accounting for at least 95% of the cumulative explained variance</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Ilyas et al., 2025)</w:t>
      </w:r>
      <w:r>
        <w:rPr>
          <w:rFonts w:hint="eastAsia" w:ascii="Times New Roman Regular" w:hAnsi="Times New Roman Regular" w:cs="Times New Roman Regular"/>
          <w:color w:val="0000FF"/>
        </w:rPr>
        <w:t>.</w:t>
      </w:r>
      <w:r>
        <w:rPr>
          <w:rFonts w:hint="eastAsia"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color w:val="0000FF"/>
        </w:rPr>
        <w:t>This threshold was selected to balance information retention with dimensionality reduction, ensuring robust model input without overfitting</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Ilyas et al., 2025</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The orthogonalized, low-dimensional principal component scores were subsequently used as model inputs. This approach preserves the vast majority of the semantic information from the original embeddings while significantly mitigating the risk of overfitting. Ultimately, the PCA-reduced AEF features served as the input variables for the model.</w:t>
      </w:r>
    </w:p>
    <w:p w14:paraId="2D1DC625">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p>
    <w:p w14:paraId="7EBA7E3D">
      <w:pPr>
        <w:spacing w:line="300" w:lineRule="auto"/>
        <w:outlineLvl w:val="2"/>
        <w:rPr>
          <w:rFonts w:ascii="Times New Roman Regular" w:hAnsi="Times New Roman Regular" w:cs="Times New Roman Regular"/>
          <w:color w:val="0000FF"/>
        </w:rPr>
      </w:pPr>
      <w:r>
        <w:rPr>
          <w:rFonts w:hint="eastAsia" w:ascii="Times New Roman Regular" w:hAnsi="Times New Roman Regular" w:cs="Times New Roman Regular"/>
          <w:color w:val="0000FF"/>
        </w:rPr>
        <w:t>2.</w:t>
      </w:r>
      <w:r>
        <w:rPr>
          <w:rFonts w:hint="eastAsia" w:ascii="Times New Roman Regular" w:hAnsi="Times New Roman Regular" w:cs="Times New Roman Regular"/>
          <w:color w:val="0000FF"/>
          <w:lang w:val="en-US" w:eastAsia="zh-CN"/>
        </w:rPr>
        <w:t>7</w:t>
      </w:r>
      <w:r>
        <w:rPr>
          <w:rFonts w:hint="eastAsia" w:ascii="Times New Roman Regular" w:hAnsi="Times New Roman Regular" w:cs="Times New Roman Regular"/>
          <w:color w:val="0000FF"/>
        </w:rPr>
        <w:t>.</w:t>
      </w:r>
      <w:r>
        <w:rPr>
          <w:rFonts w:hint="eastAsia" w:ascii="Times New Roman Regular" w:hAnsi="Times New Roman Regular" w:cs="Times New Roman Regular"/>
          <w:color w:val="0000FF"/>
          <w:lang w:val="en-US" w:eastAsia="zh-CN"/>
        </w:rPr>
        <w:t>4</w:t>
      </w:r>
      <w:r>
        <w:rPr>
          <w:rFonts w:hint="eastAsia" w:ascii="Times New Roman Regular" w:hAnsi="Times New Roman Regular" w:cs="Times New Roman Regular"/>
          <w:color w:val="0000FF"/>
        </w:rPr>
        <w:t xml:space="preserve"> Standardized prediction </w:t>
      </w:r>
      <w:r>
        <w:rPr>
          <w:rFonts w:ascii="Times New Roman Regular" w:hAnsi="Times New Roman Regular" w:cs="Times New Roman Regular"/>
          <w:color w:val="0000FF"/>
        </w:rPr>
        <w:t>w</w:t>
      </w:r>
      <w:r>
        <w:rPr>
          <w:rFonts w:hint="eastAsia" w:ascii="Times New Roman Regular" w:hAnsi="Times New Roman Regular" w:cs="Times New Roman Regular"/>
          <w:color w:val="0000FF"/>
        </w:rPr>
        <w:t>orkflow</w:t>
      </w:r>
    </w:p>
    <w:p w14:paraId="5389D96E">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 xml:space="preserve">To systematically evaluate the nitrate concentration prediction capabilities of different input variables and modeling strategies across various hydrological seasons, and to validate the effectiveness of virtual sample </w:t>
      </w:r>
      <w:r>
        <w:rPr>
          <w:rFonts w:hint="default" w:ascii="Times New Roman Regular" w:hAnsi="Times New Roman Regular" w:cs="Times New Roman Regular"/>
          <w:color w:val="0000FF"/>
          <w:lang w:val="en-US"/>
        </w:rPr>
        <w:t xml:space="preserve">generation </w:t>
      </w:r>
      <w:r>
        <w:rPr>
          <w:rFonts w:ascii="Times New Roman Regular" w:hAnsi="Times New Roman Regular" w:cs="Times New Roman Regular"/>
          <w:color w:val="0000FF"/>
        </w:rPr>
        <w:t>for small-sample modeling, this study established a standardized prediction pipeline (</w:t>
      </w:r>
      <w:r>
        <w:rPr>
          <w:rFonts w:ascii="Times New Roman Regular" w:hAnsi="Times New Roman Regular" w:cs="Times New Roman Regular"/>
          <w:color w:val="0000FF"/>
        </w:rPr>
        <w:t>Fig.</w:t>
      </w:r>
      <w:r>
        <w:rPr>
          <w:rFonts w:hint="default" w:ascii="Times New Roman Regular" w:hAnsi="Times New Roman Regular" w:cs="Times New Roman Regular"/>
          <w:color w:val="0000FF"/>
          <w:lang w:val="en-US"/>
        </w:rPr>
        <w:t>3</w:t>
      </w:r>
      <w:r>
        <w:rPr>
          <w:rFonts w:ascii="Times New Roman Regular" w:hAnsi="Times New Roman Regular" w:cs="Times New Roman Regular"/>
          <w:color w:val="0000FF"/>
        </w:rPr>
        <w:t>). The specific steps are as follows: (1) Data Preprocessing and Grouping: Observed samples were partitioned by seasons. Z-score normalization was applied separately to two types of input features: field water quality parameters and AlphaEarth Foundation (AEF) features reduced via Principal Component Analysis (PCA).</w:t>
      </w:r>
      <w:r>
        <w:rPr>
          <w:rFonts w:hint="default" w:ascii="Times New Roman Regular" w:hAnsi="Times New Roman Regular" w:cs="Times New Roman Regular"/>
          <w:color w:val="0000FF"/>
          <w:lang w:val="en-US"/>
        </w:rPr>
        <w:t xml:space="preserve"> Transparent preprocessing documentation was maintained throughout this process. No interpolation or smoothing was applied to the original observational data to preserve raw variability. The virtual sample generation described in subsequent steps was used solely for dataset generation to improve model robustness, not for filling missing raw data values.</w:t>
      </w:r>
      <w:r>
        <w:rPr>
          <w:rFonts w:ascii="Times New Roman Regular" w:hAnsi="Times New Roman Regular" w:cs="Times New Roman Regular"/>
          <w:color w:val="0000FF"/>
        </w:rPr>
        <w:t xml:space="preserve"> (2) Virtual Sample Generation and Validation: A t-SNE-GMM-KNN strategy was employed to generate virtual samples.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factors from 1</w:t>
      </w:r>
      <w:r>
        <w:rPr>
          <w:rFonts w:hint="eastAsia" w:ascii="Times New Roman Regular" w:hAnsi="Times New Roman Regular" w:cs="Times New Roman Regular"/>
          <w:color w:val="0000FF"/>
          <w:lang w:val="en-US" w:eastAsia="zh-CN"/>
        </w:rPr>
        <w:t>x</w:t>
      </w:r>
      <w:r>
        <w:rPr>
          <w:rFonts w:hint="eastAsia" w:ascii="Times New Roman Regular" w:hAnsi="Times New Roman Regular" w:cs="Times New Roman Regular"/>
          <w:color w:val="0000FF"/>
        </w:rPr>
        <w:t xml:space="preserve"> to 10</w:t>
      </w:r>
      <w:r>
        <w:rPr>
          <w:rFonts w:hint="eastAsia" w:ascii="Times New Roman Regular" w:hAnsi="Times New Roman Regular" w:cs="Times New Roman Regular"/>
          <w:color w:val="0000FF"/>
          <w:lang w:val="en-US" w:eastAsia="zh-CN"/>
        </w:rPr>
        <w:t>x</w:t>
      </w:r>
      <w:r>
        <w:rPr>
          <w:rFonts w:hint="eastAsia" w:ascii="Times New Roman Regular" w:hAnsi="Times New Roman Regular" w:cs="Times New Roman Regular"/>
          <w:color w:val="0000FF"/>
        </w:rPr>
        <w:t xml:space="preserve"> were systematically evaluated.</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Their physical plausibility and distribution consistency were rigorously verified using statistical indicators, box plots, and histograms. (3) Model Training: Under unified hyperparameters, classical Random Forest (RF) and quantum-enhanced RF models were constructed. The latter generates &lt;Z&gt; quantum features via Parameterized Quantum Circuits (PQC) encoding, which are concatenated with original features to form 2*n input features. Models were trained using two distinct input datasets and combinations of "original samples + 1~10× virtual samples." (4) Model Evaluation: The Leave-One-Out Cross-Validation (LOOCV) strategy was adopted to calculate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RMSE, and MAE. Visual diagnostics were performed using observed-predicted scatter plots, residual plots, and box plots. (5) Interpretability Analysis: Multi-scale interpretation was conducted based on the SHAP framework, including summary plots (global importance ranking), dependence plots (nonlinear response and interaction effects), and waterfall plots (local attribution). The driving mechanisms were cross-verified with results from Bayesian models and Pearson correlation analysis. This workflow encompasses the full process from data </w:t>
      </w:r>
      <w:r>
        <w:rPr>
          <w:rFonts w:hint="default" w:ascii="Times New Roman Regular" w:hAnsi="Times New Roman Regular" w:cs="Times New Roman Regular"/>
          <w:color w:val="0000FF"/>
          <w:lang w:val="en-US"/>
        </w:rPr>
        <w:t>generation</w:t>
      </w:r>
      <w:r>
        <w:rPr>
          <w:rFonts w:ascii="Times New Roman Regular" w:hAnsi="Times New Roman Regular" w:cs="Times New Roman Regular"/>
          <w:color w:val="0000FF"/>
        </w:rPr>
        <w:t>, modeling, and evaluation to attribution, providing a reproducible and highly transparent solution for precise groundwater nitrate prediction under conditions of small samples, multiple seasons, and multi-source inputs.</w:t>
      </w:r>
    </w:p>
    <w:p w14:paraId="111C8CA1">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To ensure reproducibility, all computational tasks were performed on an Apple M2 Pro (10-core CPU, 16GB RAM) running Python 3.9. Core machine learning and preprocessing tasks utilized scikit-learn (version 1.7.2), quantum feature mapping and statevector simulation were conducted using qiskit (version 1.4.5) with CPU-based analytical calculation to ensure precision without hardware noise, model interpretability analysis employed shap (version 0.49.1), data manipulation was performed with pandas (version 2.3.3) and numpy (version 2.2.6), and visualization was generated using matplotlib (version 3.9.0). Statistical tests and scientific computing relied on scipy (version 1.15.3), and parallel processing was managed by joblib (version 1.5.2). All random operations were seeded (random_state=42) to ensure deterministic results. Complete code and generated datasets are available upon request.</w:t>
      </w:r>
    </w:p>
    <w:p w14:paraId="01AAB7EC">
      <w:pPr>
        <w:spacing w:line="300" w:lineRule="auto"/>
        <w:rPr>
          <w:rFonts w:hint="eastAsia" w:ascii="Times New Roman Regular" w:hAnsi="Times New Roman Regular" w:cs="Times New Roman Regular" w:eastAsiaTheme="minorEastAsia"/>
          <w:color w:val="0000FF"/>
          <w:lang w:val="en-US" w:eastAsia="zh-CN"/>
        </w:rPr>
      </w:pPr>
      <w:r>
        <w:rPr>
          <w:rFonts w:hint="eastAsia" w:ascii="Times New Roman Regular" w:hAnsi="Times New Roman Regular" w:cs="Times New Roman Regular" w:eastAsiaTheme="minorEastAsia"/>
          <w:color w:val="0000FF"/>
          <w:lang w:val="en-US" w:eastAsia="zh-CN"/>
        </w:rPr>
        <w:drawing>
          <wp:inline distT="0" distB="0" distL="114300" distR="114300">
            <wp:extent cx="5259705" cy="4977765"/>
            <wp:effectExtent l="0" t="0" r="23495" b="635"/>
            <wp:docPr id="20" name="图片 20" descr="HESS流程图.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HESS流程图.drawio"/>
                    <pic:cNvPicPr>
                      <a:picLocks noChangeAspect="1"/>
                    </pic:cNvPicPr>
                  </pic:nvPicPr>
                  <pic:blipFill>
                    <a:blip r:embed="rId7"/>
                    <a:stretch>
                      <a:fillRect/>
                    </a:stretch>
                  </pic:blipFill>
                  <pic:spPr>
                    <a:xfrm>
                      <a:off x="0" y="0"/>
                      <a:ext cx="5259705" cy="4977765"/>
                    </a:xfrm>
                    <a:prstGeom prst="rect">
                      <a:avLst/>
                    </a:prstGeom>
                  </pic:spPr>
                </pic:pic>
              </a:graphicData>
            </a:graphic>
          </wp:inline>
        </w:drawing>
      </w:r>
    </w:p>
    <w:p w14:paraId="4286137B">
      <w:pPr>
        <w:spacing w:line="300" w:lineRule="auto"/>
        <w:jc w:val="center"/>
        <w:rPr>
          <w:rFonts w:ascii="Times New Roman Regular" w:hAnsi="Times New Roman Regular" w:cs="Times New Roman Regular"/>
          <w:color w:val="0000FF"/>
        </w:rPr>
      </w:pPr>
      <w:r>
        <w:rPr>
          <w:rFonts w:ascii="Times New Roman Bold" w:hAnsi="Times New Roman Bold" w:cs="Times New Roman Bold"/>
          <w:b/>
          <w:bCs/>
          <w:color w:val="0000FF"/>
        </w:rPr>
        <w:t>Fig.</w:t>
      </w:r>
      <w:r>
        <w:rPr>
          <w:rFonts w:hint="default" w:ascii="Times New Roman Bold" w:hAnsi="Times New Roman Bold" w:cs="Times New Roman Bold"/>
          <w:b/>
          <w:bCs/>
          <w:color w:val="0000FF"/>
          <w:lang w:val="en-US"/>
        </w:rPr>
        <w:t>3</w:t>
      </w:r>
      <w:r>
        <w:rPr>
          <w:rFonts w:ascii="Times New Roman Regular" w:hAnsi="Times New Roman Regular" w:cs="Times New Roman Regular"/>
          <w:color w:val="0000FF"/>
        </w:rPr>
        <w:t>. Process diagram for constructing prediction framework</w:t>
      </w:r>
      <w:r>
        <w:rPr>
          <w:rFonts w:hint="eastAsia" w:ascii="Times New Roman Regular" w:hAnsi="Times New Roman Regular" w:cs="Times New Roman Regular"/>
          <w:color w:val="0000FF"/>
          <w:lang w:val="en-US" w:eastAsia="zh-CN"/>
        </w:rPr>
        <w:t>.</w:t>
      </w:r>
    </w:p>
    <w:p w14:paraId="3347B88B">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p>
    <w:p w14:paraId="42B72886">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p>
    <w:p w14:paraId="171F8BA5">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Page 5–7</w:t>
      </w:r>
      <w:r>
        <w:rPr>
          <w:rFonts w:hint="default" w:ascii="Times New Roman Regular" w:hAnsi="Times New Roman Regular" w:cs="Times New Roman Regular"/>
          <w:lang w:val="en-US" w:eastAsia="zh-CN"/>
        </w:rPr>
        <w:t xml:space="preserve">. </w:t>
      </w:r>
      <w:r>
        <w:rPr>
          <w:rFonts w:hint="default" w:ascii="Times New Roman Regular" w:hAnsi="Times New Roman Regular" w:cs="Times New Roman Regular" w:eastAsiaTheme="minorEastAsia"/>
          <w:lang w:val="en-US" w:eastAsia="zh-CN"/>
        </w:rPr>
        <w:t>The methodological section lacks A clear workflow diagram. Parameter selection criteria. Hyperparameter tuning explanation (if applicable). Justification of threshold values used.</w:t>
      </w:r>
    </w:p>
    <w:p w14:paraId="239FB55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If statistical or machine learning methods are employed, the following must be specified Training/testing split strategy. Cross-validation method. Performance metrics definitions. Software and version.</w:t>
      </w:r>
      <w:r>
        <w:rPr>
          <w:rFonts w:hint="default" w:ascii="Times New Roman Regular" w:hAnsi="Times New Roman Regular" w:cs="Times New Roman Regular"/>
          <w:lang w:val="en-US" w:eastAsia="zh-CN"/>
        </w:rPr>
        <w:t xml:space="preserve"> </w:t>
      </w:r>
      <w:r>
        <w:rPr>
          <w:rFonts w:hint="default" w:ascii="Times New Roman Regular" w:hAnsi="Times New Roman Regular" w:cs="Times New Roman Regular" w:eastAsiaTheme="minorEastAsia"/>
          <w:lang w:val="en-US" w:eastAsia="zh-CN"/>
        </w:rPr>
        <w:t>Currently, the method description is too general for replication.</w:t>
      </w:r>
    </w:p>
    <w:p w14:paraId="7B72C1F4">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p>
    <w:p w14:paraId="3BB6E39C">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sincerely thank the reviewer for these constructive comments regarding the reproducibility and clarity of our methodological framework. We have thoroughly revised the Materials and Methods section to address each point:</w:t>
      </w:r>
    </w:p>
    <w:p w14:paraId="5F834C27">
      <w:pPr>
        <w:keepNext w:val="0"/>
        <w:keepLines w:val="0"/>
        <w:pageBreakBefore w:val="0"/>
        <w:widowControl w:val="0"/>
        <w:numPr>
          <w:ilvl w:val="0"/>
          <w:numId w:val="2"/>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 xml:space="preserve">Workflow Diagram: We have refined Fig. </w:t>
      </w:r>
      <w:r>
        <w:rPr>
          <w:rFonts w:hint="eastAsia" w:ascii="Times New Roman Regular" w:hAnsi="Times New Roman Regular" w:cs="Times New Roman Regular"/>
          <w:color w:val="0000FF"/>
          <w:lang w:val="en-US" w:eastAsia="zh-CN"/>
        </w:rPr>
        <w:t>3</w:t>
      </w:r>
      <w:r>
        <w:rPr>
          <w:rFonts w:hint="default" w:ascii="Times New Roman Regular" w:hAnsi="Times New Roman Regular" w:cs="Times New Roman Regular" w:eastAsiaTheme="minorEastAsia"/>
          <w:color w:val="0000FF"/>
          <w:lang w:val="en-US" w:eastAsia="zh-CN"/>
        </w:rPr>
        <w:t xml:space="preserve"> to explicitly illustrate the end-to-end pipeline, including data preprocessing, virtual sample generation, quantum feature encoding, hyperparameter tuning, and model evaluation. The text description in Section 2.</w:t>
      </w:r>
      <w:r>
        <w:rPr>
          <w:rFonts w:hint="eastAsia" w:ascii="Times New Roman Regular" w:hAnsi="Times New Roman Regular" w:cs="Times New Roman Regular"/>
          <w:color w:val="0000FF"/>
          <w:lang w:val="en-US" w:eastAsia="zh-CN"/>
        </w:rPr>
        <w:t>7</w:t>
      </w:r>
      <w:r>
        <w:rPr>
          <w:rFonts w:hint="default" w:ascii="Times New Roman Regular" w:hAnsi="Times New Roman Regular" w:cs="Times New Roman Regular" w:eastAsiaTheme="minorEastAsia"/>
          <w:color w:val="0000FF"/>
          <w:lang w:val="en-US" w:eastAsia="zh-CN"/>
        </w:rPr>
        <w:t>.</w:t>
      </w:r>
      <w:r>
        <w:rPr>
          <w:rFonts w:hint="eastAsia" w:ascii="Times New Roman Regular" w:hAnsi="Times New Roman Regular" w:cs="Times New Roman Regular"/>
          <w:color w:val="0000FF"/>
          <w:lang w:val="en-US" w:eastAsia="zh-CN"/>
        </w:rPr>
        <w:t>4</w:t>
      </w:r>
      <w:r>
        <w:rPr>
          <w:rFonts w:hint="default" w:ascii="Times New Roman Regular" w:hAnsi="Times New Roman Regular" w:cs="Times New Roman Regular" w:eastAsiaTheme="minorEastAsia"/>
          <w:color w:val="0000FF"/>
          <w:lang w:val="en-US" w:eastAsia="zh-CN"/>
        </w:rPr>
        <w:t xml:space="preserve"> has been expanded to walk the reader through each step of the diagram.</w:t>
      </w:r>
    </w:p>
    <w:p w14:paraId="052B767E">
      <w:pPr>
        <w:keepNext w:val="0"/>
        <w:keepLines w:val="0"/>
        <w:pageBreakBefore w:val="0"/>
        <w:widowControl w:val="0"/>
        <w:numPr>
          <w:ilvl w:val="0"/>
          <w:numId w:val="2"/>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Parameter Selection &amp; Hyperparameter Tuning: We have added detailed explanations in Section 2.4 and Section 2.</w:t>
      </w:r>
      <w:r>
        <w:rPr>
          <w:rFonts w:hint="eastAsia" w:ascii="Times New Roman Regular" w:hAnsi="Times New Roman Regular" w:cs="Times New Roman Regular"/>
          <w:color w:val="0000FF"/>
          <w:lang w:val="en-US" w:eastAsia="zh-CN"/>
        </w:rPr>
        <w:t>5</w:t>
      </w:r>
      <w:r>
        <w:rPr>
          <w:rFonts w:hint="default" w:ascii="Times New Roman Regular" w:hAnsi="Times New Roman Regular" w:cs="Times New Roman Regular" w:eastAsiaTheme="minorEastAsia"/>
          <w:color w:val="0000FF"/>
          <w:lang w:val="en-US" w:eastAsia="zh-CN"/>
        </w:rPr>
        <w:t>. Specifically, we clarified the quantum circuit parameters (e.g., reps=1, n_qubits equal to feature dimension), the t-SNE perplexity setting (10, optimized for small samples), the GMM component selection via BIC minimization (range 1-7), and the KNN inverse mapping parameters (n_neighbors=5). The grid search ranges for the Random Forest (e.g., n_estimators, max_depth) have also been specified.</w:t>
      </w:r>
    </w:p>
    <w:p w14:paraId="0343DEC8">
      <w:pPr>
        <w:keepNext w:val="0"/>
        <w:keepLines w:val="0"/>
        <w:pageBreakBefore w:val="0"/>
        <w:widowControl w:val="0"/>
        <w:numPr>
          <w:ilvl w:val="0"/>
          <w:numId w:val="2"/>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Threshold Values: Justifications for thresholds, such as the 95% cumulative variance for PCA in AEF feature processing (Section 2.2.2), the perplexity setting for t-SNE (Section 2.4), and the physical constraints for virtual samples (e.g., NO</w:t>
      </w:r>
      <w:r>
        <w:rPr>
          <w:rFonts w:hint="eastAsia" w:ascii="Times New Roman Regular" w:hAnsi="Times New Roman Regular" w:cs="Times New Roman Regular"/>
          <w:color w:val="0000FF"/>
          <w:vertAlign w:val="subscript"/>
          <w:lang w:val="en-US" w:eastAsia="zh-CN"/>
        </w:rPr>
        <w:t>3</w:t>
      </w:r>
      <w:r>
        <w:rPr>
          <w:rFonts w:hint="eastAsia"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eastAsiaTheme="minorEastAsia"/>
          <w:color w:val="0000FF"/>
          <w:lang w:val="en-US" w:eastAsia="zh-CN"/>
        </w:rPr>
        <w:t xml:space="preserve"> ≥ 0 mg L</w:t>
      </w:r>
      <w:r>
        <w:rPr>
          <w:rFonts w:hint="eastAsia" w:ascii="Times New Roman Regular" w:hAnsi="Times New Roman Regular" w:cs="Times New Roman Regular"/>
          <w:color w:val="0000FF"/>
          <w:vertAlign w:val="superscript"/>
          <w:lang w:val="en-US" w:eastAsia="zh-CN"/>
        </w:rPr>
        <w:t>-1</w:t>
      </w:r>
      <w:r>
        <w:rPr>
          <w:rFonts w:hint="default" w:ascii="Times New Roman Regular" w:hAnsi="Times New Roman Regular" w:cs="Times New Roman Regular" w:eastAsiaTheme="minorEastAsia"/>
          <w:color w:val="0000FF"/>
          <w:lang w:val="en-US" w:eastAsia="zh-CN"/>
        </w:rPr>
        <w:t>) have been clarified.</w:t>
      </w:r>
    </w:p>
    <w:p w14:paraId="7EE027D6">
      <w:pPr>
        <w:keepNext w:val="0"/>
        <w:keepLines w:val="0"/>
        <w:pageBreakBefore w:val="0"/>
        <w:widowControl w:val="0"/>
        <w:numPr>
          <w:ilvl w:val="0"/>
          <w:numId w:val="2"/>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Training/Testing &amp; CV Strategy: The LOOCV strategy is now explicitly defined in Section 2.6.2, explaining why it was chosen over standard k-fold split (due to limited samples).</w:t>
      </w:r>
    </w:p>
    <w:p w14:paraId="2B3D372C">
      <w:pPr>
        <w:keepNext w:val="0"/>
        <w:keepLines w:val="0"/>
        <w:pageBreakBefore w:val="0"/>
        <w:widowControl w:val="0"/>
        <w:numPr>
          <w:ilvl w:val="0"/>
          <w:numId w:val="2"/>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Performance Metrics: Definitions for</w:t>
      </w:r>
      <w:r>
        <w:rPr>
          <w:rFonts w:hint="eastAsia" w:ascii="Times New Roman Regular" w:hAnsi="Times New Roman Regular" w:cs="Times New Roman Regular"/>
          <w:color w:val="0000FF"/>
          <w:lang w:val="en-US" w:eastAsia="zh-CN"/>
        </w:rPr>
        <w:t xml:space="preserve"> R</w:t>
      </w:r>
      <w:r>
        <w:rPr>
          <w:rFonts w:hint="eastAsia" w:ascii="Times New Roman Regular" w:hAnsi="Times New Roman Regular" w:cs="Times New Roman Regular"/>
          <w:color w:val="0000FF"/>
          <w:vertAlign w:val="superscript"/>
          <w:lang w:val="en-US" w:eastAsia="zh-CN"/>
        </w:rPr>
        <w:t>2</w:t>
      </w:r>
      <w:r>
        <w:rPr>
          <w:rFonts w:hint="default" w:ascii="Times New Roman Regular" w:hAnsi="Times New Roman Regular" w:cs="Times New Roman Regular" w:eastAsiaTheme="minorEastAsia"/>
          <w:color w:val="0000FF"/>
          <w:lang w:val="en-US" w:eastAsia="zh-CN"/>
        </w:rPr>
        <w:t>, RMSE, and MAE are provided with formulas in Section 2.</w:t>
      </w:r>
      <w:r>
        <w:rPr>
          <w:rFonts w:hint="eastAsia" w:ascii="Times New Roman Regular" w:hAnsi="Times New Roman Regular" w:cs="Times New Roman Regular"/>
          <w:color w:val="0000FF"/>
          <w:lang w:val="en-US" w:eastAsia="zh-CN"/>
        </w:rPr>
        <w:t>7</w:t>
      </w:r>
      <w:r>
        <w:rPr>
          <w:rFonts w:hint="default" w:ascii="Times New Roman Regular" w:hAnsi="Times New Roman Regular" w:cs="Times New Roman Regular" w:eastAsiaTheme="minorEastAsia"/>
          <w:color w:val="0000FF"/>
          <w:lang w:val="en-US" w:eastAsia="zh-CN"/>
        </w:rPr>
        <w:t>.2.</w:t>
      </w:r>
    </w:p>
    <w:p w14:paraId="128C5F2C">
      <w:pPr>
        <w:keepNext w:val="0"/>
        <w:keepLines w:val="0"/>
        <w:pageBreakBefore w:val="0"/>
        <w:widowControl w:val="0"/>
        <w:numPr>
          <w:ilvl w:val="0"/>
          <w:numId w:val="2"/>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 xml:space="preserve">Software and Version: A new </w:t>
      </w:r>
      <w:r>
        <w:rPr>
          <w:rFonts w:hint="eastAsia" w:ascii="Times New Roman Regular" w:hAnsi="Times New Roman Regular" w:cs="Times New Roman Regular"/>
          <w:color w:val="0000FF"/>
          <w:lang w:val="en-US" w:eastAsia="zh-CN"/>
        </w:rPr>
        <w:t>paragraph</w:t>
      </w:r>
      <w:r>
        <w:rPr>
          <w:rFonts w:hint="default" w:ascii="Times New Roman Regular" w:hAnsi="Times New Roman Regular" w:cs="Times New Roman Regular" w:eastAsiaTheme="minorEastAsia"/>
          <w:color w:val="0000FF"/>
          <w:lang w:val="en-US" w:eastAsia="zh-CN"/>
        </w:rPr>
        <w:t xml:space="preserve"> has been added to list all key packages (Python, scikit-learn, Qiskit, etc.) to ensure replicability.</w:t>
      </w:r>
    </w:p>
    <w:p w14:paraId="500FB85B">
      <w:pPr>
        <w:keepNext w:val="0"/>
        <w:keepLines w:val="0"/>
        <w:pageBreakBefore w:val="0"/>
        <w:widowControl w:val="0"/>
        <w:numPr>
          <w:ilvl w:val="0"/>
          <w:numId w:val="2"/>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Virtual Sample Generation Details: Section 2.4 has been substantially expanded to include the complete technical workflow: KNN-based missing value imputation, t-SNE dimensionality reduction parameters, GMM component optimization via BIC, KNN inverse mapping for reconstructing original feature space, and physical constraint enforcement. Code-level implementation details are now provided to ensure full reproducibility.</w:t>
      </w:r>
    </w:p>
    <w:p w14:paraId="61DA038B">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p>
    <w:p w14:paraId="5A1DCEA5">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59DB5630">
      <w:pPr>
        <w:spacing w:line="300" w:lineRule="auto"/>
        <w:outlineLvl w:val="1"/>
        <w:rPr>
          <w:rFonts w:ascii="Times New Roman Regular" w:hAnsi="Times New Roman Regular" w:cs="Times New Roman Regular"/>
          <w:color w:val="0000FF"/>
        </w:rPr>
      </w:pPr>
      <w:r>
        <w:rPr>
          <w:rFonts w:hint="eastAsia" w:ascii="Times New Roman Regular" w:hAnsi="Times New Roman Regular" w:cs="Times New Roman Regular"/>
          <w:color w:val="0000FF"/>
        </w:rPr>
        <w:t xml:space="preserve">2.4 </w:t>
      </w:r>
      <w:r>
        <w:rPr>
          <w:rFonts w:ascii="Times New Roman Regular" w:hAnsi="Times New Roman Regular" w:cs="Times New Roman Regular"/>
          <w:color w:val="0000FF"/>
        </w:rPr>
        <w:t>t-SNE-GMM-KNN: based on nonlinear structure modeling in feature space</w:t>
      </w:r>
    </w:p>
    <w:p w14:paraId="4E865929">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To address the challenges of overfitting and poor generalization performance in small-sample modeling, which arise from data sparsity and skewed distributions, this study proposes a three-stage virtual sample generation strategy termed t-SNE</w:t>
      </w:r>
      <w:r>
        <w:rPr>
          <w:rFonts w:hint="eastAsia" w:ascii="Times New Roman Regular" w:hAnsi="Times New Roman Regular" w:cs="Times New Roman Regular"/>
          <w:color w:val="0000FF"/>
        </w:rPr>
        <w:t>-</w:t>
      </w:r>
      <w:r>
        <w:rPr>
          <w:rFonts w:ascii="Times New Roman Regular" w:hAnsi="Times New Roman Regular" w:cs="Times New Roman Regular"/>
          <w:color w:val="0000FF"/>
        </w:rPr>
        <w:t xml:space="preserve">Gaussian Mixture Sampling with KNN Inverse mapping. This method aims to preserve the non-linear manifold structure and multi-modal distribution characteristics of the original high-dimensional feature space while generating physically plausible and statistically consistent </w:t>
      </w:r>
      <w:r>
        <w:rPr>
          <w:rFonts w:hint="default" w:ascii="Times New Roman Regular" w:hAnsi="Times New Roman Regular" w:cs="Times New Roman Regular"/>
          <w:color w:val="0000FF"/>
          <w:lang w:val="en-US"/>
        </w:rPr>
        <w:t xml:space="preserve">virtual </w:t>
      </w:r>
      <w:r>
        <w:rPr>
          <w:rFonts w:ascii="Times New Roman Regular" w:hAnsi="Times New Roman Regular" w:cs="Times New Roman Regular"/>
          <w:color w:val="0000FF"/>
        </w:rPr>
        <w:t xml:space="preserve">samples. </w:t>
      </w:r>
      <w:r>
        <w:rPr>
          <w:rFonts w:hint="eastAsia" w:ascii="Times New Roman Regular" w:hAnsi="Times New Roman Regular" w:cs="Times New Roman Regular"/>
          <w:color w:val="0000FF"/>
        </w:rPr>
        <w:t>Crucially, virtual samples are generated exclusively in the hydrochemical feature space (spatial dimension) for each hydrological season independently, with no temporal extrapolation or cross-season data fusion, to avoid altering the inherent seasonal hydrochemical heterogeneity identified in this study.</w:t>
      </w:r>
      <w:r>
        <w:rPr>
          <w:rFonts w:hint="eastAsia" w:ascii="Times New Roman Regular" w:hAnsi="Times New Roman Regular" w:cs="Times New Roman Regular"/>
          <w:color w:val="0000FF"/>
          <w:lang w:val="en-US" w:eastAsia="zh-CN"/>
        </w:rPr>
        <w:t xml:space="preserve"> The </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lang w:val="en-US" w:eastAsia="zh-CN"/>
        </w:rPr>
        <w:t>spatial dimension</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lang w:val="en-US" w:eastAsia="zh-CN"/>
        </w:rPr>
        <w:t xml:space="preserve"> here refers to the high-dimensional hydrochemical feature space composed of in-situ measured water quality parameters and nitrate concentration. T</w:t>
      </w:r>
      <w:r>
        <w:rPr>
          <w:rFonts w:hint="eastAsia" w:ascii="Times New Roman Regular" w:hAnsi="Times New Roman Regular" w:cs="Times New Roman Regular"/>
          <w:color w:val="0000FF"/>
        </w:rPr>
        <w:t xml:space="preserve">hese virtual samples augment the hydrochemical attribute space within each specific hydrological season (normal, dry, wet) to increase population density for model training, rather than representing new physical spatial locations or distinct time points. </w:t>
      </w:r>
      <w:r>
        <w:rPr>
          <w:rFonts w:ascii="Times New Roman Regular" w:hAnsi="Times New Roman Regular" w:cs="Times New Roman Regular"/>
          <w:color w:val="0000FF"/>
        </w:rPr>
        <w:t>The specific workflow is as follows:</w:t>
      </w:r>
    </w:p>
    <w:p w14:paraId="13175F0D">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 xml:space="preserve">1. Data </w:t>
      </w:r>
      <w:r>
        <w:rPr>
          <w:rFonts w:hint="default" w:ascii="Times New Roman Regular" w:hAnsi="Times New Roman Regular" w:cs="Times New Roman Regular"/>
          <w:color w:val="0000FF"/>
          <w:lang w:val="en-US"/>
        </w:rPr>
        <w:t>s</w:t>
      </w:r>
      <w:r>
        <w:rPr>
          <w:rFonts w:ascii="Times New Roman Regular" w:hAnsi="Times New Roman Regular" w:cs="Times New Roman Regular"/>
          <w:color w:val="0000FF"/>
        </w:rPr>
        <w:t>tandardization</w:t>
      </w:r>
    </w:p>
    <w:p w14:paraId="02A63172">
      <w:pPr>
        <w:spacing w:line="300" w:lineRule="auto"/>
        <w:ind w:firstLine="420"/>
        <w:rPr>
          <w:rFonts w:hint="eastAsia" w:ascii="Times New Roman Regular" w:hAnsi="Times New Roman Regular" w:cs="Times New Roman Regular" w:eastAsiaTheme="minorEastAsia"/>
          <w:color w:val="0000FF"/>
          <w:lang w:val="en-US" w:eastAsia="zh-CN"/>
        </w:rPr>
      </w:pPr>
      <w:r>
        <w:rPr>
          <w:rFonts w:ascii="Times New Roman Regular" w:hAnsi="Times New Roman Regular" w:cs="Times New Roman Regular"/>
          <w:color w:val="0000FF"/>
        </w:rPr>
        <w:t>All input features are standardized using Z-score standardization to eliminate scale differences and enhance the stability of the subsequent dimensionality reduction (</w:t>
      </w:r>
      <w:r>
        <w:rPr>
          <w:rFonts w:ascii="Times New Roman Regular" w:hAnsi="Times New Roman Regular" w:cs="Times New Roman Regular"/>
          <w:color w:val="0000FF"/>
        </w:rPr>
        <w:t>Jamshidi et al., 2022).</w:t>
      </w:r>
      <w:r>
        <w:rPr>
          <w:rFonts w:hint="default" w:ascii="Times New Roman Regular" w:hAnsi="Times New Roman Regular" w:cs="Times New Roman Regular"/>
          <w:color w:val="0000FF"/>
          <w:lang w:val="en-US"/>
        </w:rPr>
        <w:t xml:space="preserve"> The StandardScaler from scikit-learn was applied to transform each feature to zero mean and unit variance.</w:t>
      </w:r>
      <w:r>
        <w:rPr>
          <w:rFonts w:hint="eastAsia" w:ascii="Times New Roman Regular" w:hAnsi="Times New Roman Regular" w:cs="Times New Roman Regular"/>
          <w:color w:val="0000FF"/>
          <w:lang w:val="en-US" w:eastAsia="zh-CN"/>
        </w:rPr>
        <w:t xml:space="preserve"> Notably, the target variable (NO</w:t>
      </w:r>
      <w:r>
        <w:rPr>
          <w:rFonts w:hint="eastAsia" w:ascii="Times New Roman Regular" w:hAnsi="Times New Roman Regular" w:cs="Times New Roman Regular"/>
          <w:color w:val="0000FF"/>
          <w:vertAlign w:val="subscript"/>
          <w:lang w:val="en-US" w:eastAsia="zh-CN"/>
        </w:rPr>
        <w:t>3</w:t>
      </w:r>
      <w:r>
        <w:rPr>
          <w:rFonts w:hint="eastAsia" w:ascii="Times New Roman Regular" w:hAnsi="Times New Roman Regular" w:cs="Times New Roman Regular"/>
          <w:color w:val="0000FF"/>
          <w:vertAlign w:val="superscript"/>
          <w:lang w:val="en-US" w:eastAsia="zh-CN"/>
        </w:rPr>
        <w:t>-</w:t>
      </w:r>
      <w:r>
        <w:rPr>
          <w:rFonts w:hint="eastAsia" w:ascii="Times New Roman Regular" w:hAnsi="Times New Roman Regular" w:cs="Times New Roman Regular"/>
          <w:color w:val="0000FF"/>
          <w:lang w:val="en-US" w:eastAsia="zh-CN"/>
        </w:rPr>
        <w:t>) is included alongside predictive variables (pH, T, EC, DO, ORP, Salt, TDS) in this standardization step to ensure the joint distribution between predictors and the target is preserved during generation.</w:t>
      </w:r>
    </w:p>
    <w:p w14:paraId="3CC38CF9">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 xml:space="preserve">2. t-SNE </w:t>
      </w:r>
      <w:r>
        <w:rPr>
          <w:rFonts w:hint="default" w:ascii="Times New Roman Regular" w:hAnsi="Times New Roman Regular" w:cs="Times New Roman Regular"/>
          <w:color w:val="0000FF"/>
          <w:lang w:val="en-US"/>
        </w:rPr>
        <w:t>n</w:t>
      </w:r>
      <w:r>
        <w:rPr>
          <w:rFonts w:ascii="Times New Roman Regular" w:hAnsi="Times New Roman Regular" w:cs="Times New Roman Regular"/>
          <w:color w:val="0000FF"/>
        </w:rPr>
        <w:t xml:space="preserve">on-linear </w:t>
      </w:r>
      <w:r>
        <w:rPr>
          <w:rFonts w:hint="default" w:ascii="Times New Roman Regular" w:hAnsi="Times New Roman Regular" w:cs="Times New Roman Regular"/>
          <w:color w:val="0000FF"/>
          <w:lang w:val="en-US"/>
        </w:rPr>
        <w:t>d</w:t>
      </w:r>
      <w:r>
        <w:rPr>
          <w:rFonts w:ascii="Times New Roman Regular" w:hAnsi="Times New Roman Regular" w:cs="Times New Roman Regular"/>
          <w:color w:val="0000FF"/>
        </w:rPr>
        <w:t xml:space="preserve">imensionality </w:t>
      </w:r>
      <w:r>
        <w:rPr>
          <w:rFonts w:hint="default" w:ascii="Times New Roman Regular" w:hAnsi="Times New Roman Regular" w:cs="Times New Roman Regular"/>
          <w:color w:val="0000FF"/>
          <w:lang w:val="en-US"/>
        </w:rPr>
        <w:t>r</w:t>
      </w:r>
      <w:r>
        <w:rPr>
          <w:rFonts w:ascii="Times New Roman Regular" w:hAnsi="Times New Roman Regular" w:cs="Times New Roman Regular"/>
          <w:color w:val="0000FF"/>
        </w:rPr>
        <w:t>eduction</w:t>
      </w:r>
    </w:p>
    <w:p w14:paraId="35040CE5">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t-Distributed Stochastic Neighbor Embedding (t-SNE) is employed to map the high-dimensional feature space into a low-dimensional latent space (d=2) (</w:t>
      </w:r>
      <w:r>
        <w:rPr>
          <w:rFonts w:ascii="Times New Roman Regular" w:hAnsi="Times New Roman Regular" w:cs="Times New Roman Regular"/>
          <w:color w:val="0000FF"/>
        </w:rPr>
        <w:t xml:space="preserve">Islam et al., 2023). </w:t>
      </w:r>
      <w:r>
        <w:rPr>
          <w:rFonts w:hint="eastAsia" w:ascii="Times New Roman Regular" w:hAnsi="Times New Roman Regular" w:cs="Times New Roman Regular"/>
          <w:color w:val="0000FF"/>
        </w:rPr>
        <w:t>t-SNE is selected for its superior ability to preserve the local non-linear manifold structure of high-dimensional hydrochemical data compared to linear dimensionality reduction methods such as PCA, which is critical for capturing clustered subgroups corresponding to distinct hydrological and contamination processes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Wang et al., 2025</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 xml:space="preserve">To balance the preservation of local and global structures, </w:t>
      </w:r>
      <w:r>
        <w:rPr>
          <w:rFonts w:hint="eastAsia" w:ascii="Times New Roman Regular" w:hAnsi="Times New Roman Regular" w:cs="Times New Roman Regular"/>
          <w:color w:val="0000FF"/>
        </w:rPr>
        <w:t>the perplexity is set to 10 based on empirical testing for small sample sizes (n&lt;100), which optimizes the balance between local neighborhood preservation and global structure maintenance</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Kobak et al., 2019</w:t>
      </w:r>
      <w:r>
        <w:rPr>
          <w:rFonts w:hint="default" w:ascii="Times New Roman Regular" w:hAnsi="Times New Roman Regular" w:cs="Times New Roman Regular"/>
          <w:color w:val="0000FF"/>
          <w:lang w:val="en-US"/>
        </w:rPr>
        <w:t>). PCA initialization is used to ensure reproducibility and accelerate convergence, with a maximum iteration number of 1000 and a gradient descent tolerance of 1e-5 set as the convergence criteria</w:t>
      </w:r>
      <w:r>
        <w:rPr>
          <w:rFonts w:ascii="Times New Roman Regular" w:hAnsi="Times New Roman Regular" w:cs="Times New Roman Regular"/>
          <w:color w:val="0000FF"/>
        </w:rPr>
        <w:t>. t-SNE effectively reveals the clustered structure of samples on the low-dimensional manifold, reflecting the differentiation of underlying environmental processes within hydrological seasons (</w:t>
      </w:r>
      <w:r>
        <w:rPr>
          <w:rFonts w:ascii="Times New Roman Regular" w:hAnsi="Times New Roman Regular" w:cs="Times New Roman Regular"/>
          <w:color w:val="0000FF"/>
        </w:rPr>
        <w:t>Liu et al., 2021).</w:t>
      </w:r>
      <w:r>
        <w:rPr>
          <w:rFonts w:hint="default" w:ascii="Times New Roman Regular" w:hAnsi="Times New Roman Regular" w:cs="Times New Roman Regular"/>
          <w:color w:val="0000FF"/>
          <w:lang w:val="en-US"/>
        </w:rPr>
        <w:t xml:space="preserve"> The implementation used the scikit-learn TSNE module with random_state=42 for reproducibility.</w:t>
      </w:r>
    </w:p>
    <w:p w14:paraId="776F6EE7">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 xml:space="preserve">3. GMM </w:t>
      </w:r>
      <w:r>
        <w:rPr>
          <w:rFonts w:hint="default" w:ascii="Times New Roman Regular" w:hAnsi="Times New Roman Regular" w:cs="Times New Roman Regular"/>
          <w:color w:val="0000FF"/>
          <w:lang w:val="en-US"/>
        </w:rPr>
        <w:t>c</w:t>
      </w:r>
      <w:r>
        <w:rPr>
          <w:rFonts w:ascii="Times New Roman Regular" w:hAnsi="Times New Roman Regular" w:cs="Times New Roman Regular"/>
          <w:color w:val="0000FF"/>
        </w:rPr>
        <w:t xml:space="preserve">lustering and </w:t>
      </w:r>
      <w:r>
        <w:rPr>
          <w:rFonts w:hint="default" w:ascii="Times New Roman Regular" w:hAnsi="Times New Roman Regular" w:cs="Times New Roman Regular"/>
          <w:color w:val="0000FF"/>
          <w:lang w:val="en-US"/>
        </w:rPr>
        <w:t>o</w:t>
      </w:r>
      <w:r>
        <w:rPr>
          <w:rFonts w:ascii="Times New Roman Regular" w:hAnsi="Times New Roman Regular" w:cs="Times New Roman Regular"/>
          <w:color w:val="0000FF"/>
        </w:rPr>
        <w:t xml:space="preserve">ptimal </w:t>
      </w:r>
      <w:r>
        <w:rPr>
          <w:rFonts w:hint="default" w:ascii="Times New Roman Regular" w:hAnsi="Times New Roman Regular" w:cs="Times New Roman Regular"/>
          <w:color w:val="0000FF"/>
          <w:lang w:val="en-US"/>
        </w:rPr>
        <w:t>c</w:t>
      </w:r>
      <w:r>
        <w:rPr>
          <w:rFonts w:ascii="Times New Roman Regular" w:hAnsi="Times New Roman Regular" w:cs="Times New Roman Regular"/>
          <w:color w:val="0000FF"/>
        </w:rPr>
        <w:t xml:space="preserve">omponent </w:t>
      </w:r>
      <w:r>
        <w:rPr>
          <w:rFonts w:hint="default" w:ascii="Times New Roman Regular" w:hAnsi="Times New Roman Regular" w:cs="Times New Roman Regular"/>
          <w:color w:val="0000FF"/>
          <w:lang w:val="en-US"/>
        </w:rPr>
        <w:t>s</w:t>
      </w:r>
      <w:r>
        <w:rPr>
          <w:rFonts w:ascii="Times New Roman Regular" w:hAnsi="Times New Roman Regular" w:cs="Times New Roman Regular"/>
          <w:color w:val="0000FF"/>
        </w:rPr>
        <w:t>election</w:t>
      </w:r>
    </w:p>
    <w:p w14:paraId="08FE793A">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In the t-SNE-reduced low-dimensional space, a Gaussian Mixture Model (GMM) is constructed to characterize the probability density distribution of the data (</w:t>
      </w:r>
      <w:r>
        <w:rPr>
          <w:rFonts w:ascii="Times New Roman Regular" w:hAnsi="Times New Roman Regular" w:cs="Times New Roman Regular"/>
          <w:color w:val="0000FF"/>
        </w:rPr>
        <w:t xml:space="preserve">Jia et al., 2022). The GMM assumes that the data are generated from a linear combination of several Gaussian distributions. </w:t>
      </w:r>
      <w:r>
        <w:rPr>
          <w:rFonts w:hint="eastAsia" w:ascii="Times New Roman Regular" w:hAnsi="Times New Roman Regular" w:cs="Times New Roman Regular"/>
          <w:color w:val="0000FF"/>
        </w:rPr>
        <w:t>The GMM captures the multimodal nature of the hydrochemical data (e.g., distinct clusters corresponding to different contamination levels or redox conditions).</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The weights, means, and covariance matrices of each Gaussian component are estimated via the Expectation-Maximization (EM) algorithm, thereby accurately capturing the complex distribution patterns of the data (</w:t>
      </w:r>
      <w:r>
        <w:rPr>
          <w:rFonts w:ascii="Times New Roman Regular" w:hAnsi="Times New Roman Regular" w:cs="Times New Roman Regular"/>
          <w:color w:val="0000FF"/>
        </w:rPr>
        <w:t xml:space="preserve">Yan et al., 2023). To avoid subjectively setting the number of clusters, the Bayesian Information Criterion (BIC) is used to automatically optimize the number of components, K, within the range </w:t>
      </w:r>
      <w:r>
        <w:rPr>
          <w:rFonts w:hint="eastAsia" w:ascii="Times New Roman Regular" w:hAnsi="Times New Roman Regular" w:cs="Times New Roman Regular"/>
          <w:color w:val="0000FF"/>
        </w:rPr>
        <w:t>(1 to 7, where the upper bound was set to approximately n/10 to prevent overfitting given the small sample size)</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w:t>
      </w:r>
      <w:r>
        <w:rPr>
          <w:rFonts w:ascii="Times New Roman Regular" w:hAnsi="Times New Roman Regular" w:cs="Times New Roman Regular"/>
          <w:color w:val="0000FF"/>
        </w:rPr>
        <w:t>Ghodba et al., 2025):</w:t>
      </w:r>
    </w:p>
    <w:p w14:paraId="257D495D">
      <w:pPr>
        <w:spacing w:line="300" w:lineRule="auto"/>
        <w:jc w:val="right"/>
        <w:rPr>
          <w:rFonts w:ascii="Times New Roman Regular" w:hAnsi="Times New Roman Regular" w:cs="Times New Roman Regular"/>
          <w:color w:val="0000FF"/>
        </w:rPr>
      </w:pPr>
      <m:oMath>
        <m:r>
          <m:rPr>
            <m:nor/>
          </m:rPr>
          <w:rPr>
            <w:rFonts w:ascii="DejaVu Math TeX Gyre" w:hAnsi="DejaVu Math TeX Gyre" w:cs="Times New Roman Regular"/>
            <w:b w:val="0"/>
            <w:i/>
            <w:iCs/>
            <w:color w:val="0000FF"/>
          </w:rPr>
          <m:t>BIC(K)=-2</m:t>
        </m:r>
        <m:func>
          <m:funcPr>
            <m:ctrlPr>
              <w:rPr>
                <w:rFonts w:ascii="DejaVu Math TeX Gyre" w:hAnsi="DejaVu Math TeX Gyre" w:cs="Times New Roman Regular"/>
                <w:i/>
                <w:iCs/>
                <w:color w:val="0000FF"/>
              </w:rPr>
            </m:ctrlPr>
          </m:funcPr>
          <m:fName>
            <m:r>
              <m:rPr>
                <m:nor/>
              </m:rPr>
              <w:rPr>
                <w:rFonts w:ascii="DejaVu Math TeX Gyre" w:hAnsi="DejaVu Math TeX Gyre" w:cs="Times New Roman Regular"/>
                <w:b w:val="0"/>
                <w:i/>
                <w:iCs/>
                <w:color w:val="0000FF"/>
              </w:rPr>
              <m:t>log</m:t>
            </m:r>
            <m:ctrlPr>
              <w:rPr>
                <w:rFonts w:ascii="DejaVu Math TeX Gyre" w:hAnsi="DejaVu Math TeX Gyre" w:cs="Times New Roman Regular"/>
                <w:i/>
                <w:iCs/>
                <w:color w:val="0000FF"/>
              </w:rPr>
            </m:ctrlPr>
          </m:fName>
          <m:e>
            <m:r>
              <m:rPr>
                <m:nor/>
              </m:rPr>
              <w:rPr>
                <w:rFonts w:ascii="DejaVu Math TeX Gyre" w:hAnsi="DejaVu Math TeX Gyre" w:eastAsia="MS Mincho" w:cs="MS Mincho"/>
                <w:b w:val="0"/>
                <w:i/>
                <w:iCs/>
                <w:color w:val="0000FF"/>
              </w:rPr>
              <m:t>L</m:t>
            </m:r>
            <m:ctrlPr>
              <w:rPr>
                <w:rFonts w:ascii="DejaVu Math TeX Gyre" w:hAnsi="DejaVu Math TeX Gyre" w:cs="Times New Roman Regular"/>
                <w:i/>
                <w:iCs/>
                <w:color w:val="0000FF"/>
              </w:rPr>
            </m:ctrlPr>
          </m:e>
        </m:func>
        <m:r>
          <m:rPr>
            <m:nor/>
          </m:rPr>
          <w:rPr>
            <w:rFonts w:ascii="DejaVu Math TeX Gyre" w:hAnsi="DejaVu Math TeX Gyre" w:cs="Times New Roman Regular"/>
            <w:b w:val="0"/>
            <w:i/>
            <w:iCs/>
            <w:color w:val="0000FF"/>
          </w:rPr>
          <m:t>+</m:t>
        </m:r>
        <m:sSub>
          <m:sSubPr>
            <m:ctrlPr>
              <w:rPr>
                <w:rFonts w:ascii="DejaVu Math TeX Gyre" w:hAnsi="DejaVu Math TeX Gyre" w:cs="Times New Roman Regular"/>
                <w:i/>
                <w:iCs/>
                <w:color w:val="0000FF"/>
              </w:rPr>
            </m:ctrlPr>
          </m:sSubPr>
          <m:e>
            <m:r>
              <m:rPr>
                <m:nor/>
              </m:rPr>
              <w:rPr>
                <w:rFonts w:ascii="DejaVu Math TeX Gyre" w:hAnsi="DejaVu Math TeX Gyre" w:cs="Times New Roman Regular"/>
                <w:b w:val="0"/>
                <w:i/>
                <w:iCs/>
                <w:color w:val="0000FF"/>
              </w:rPr>
              <m:t>p</m:t>
            </m:r>
            <m:ctrlPr>
              <w:rPr>
                <w:rFonts w:ascii="DejaVu Math TeX Gyre" w:hAnsi="DejaVu Math TeX Gyre" w:cs="Times New Roman Regular"/>
                <w:i/>
                <w:iCs/>
                <w:color w:val="0000FF"/>
              </w:rPr>
            </m:ctrlPr>
          </m:e>
          <m:sub>
            <m:r>
              <m:rPr>
                <m:nor/>
              </m:rPr>
              <w:rPr>
                <w:rFonts w:ascii="DejaVu Math TeX Gyre" w:hAnsi="DejaVu Math TeX Gyre" w:cs="Times New Roman Regular"/>
                <w:b w:val="0"/>
                <w:i/>
                <w:iCs/>
                <w:color w:val="0000FF"/>
              </w:rPr>
              <m:t>K</m:t>
            </m:r>
            <m:ctrlPr>
              <w:rPr>
                <w:rFonts w:ascii="DejaVu Math TeX Gyre" w:hAnsi="DejaVu Math TeX Gyre" w:cs="Times New Roman Regular"/>
                <w:i/>
                <w:iCs/>
                <w:color w:val="0000FF"/>
              </w:rPr>
            </m:ctrlPr>
          </m:sub>
        </m:sSub>
        <m:func>
          <m:funcPr>
            <m:ctrlPr>
              <w:rPr>
                <w:rFonts w:ascii="DejaVu Math TeX Gyre" w:hAnsi="DejaVu Math TeX Gyre" w:cs="Times New Roman Regular"/>
                <w:i/>
                <w:iCs/>
                <w:color w:val="0000FF"/>
              </w:rPr>
            </m:ctrlPr>
          </m:funcPr>
          <m:fName>
            <m:r>
              <m:rPr>
                <m:nor/>
              </m:rPr>
              <w:rPr>
                <w:rFonts w:ascii="DejaVu Math TeX Gyre" w:hAnsi="DejaVu Math TeX Gyre" w:cs="Times New Roman Regular"/>
                <w:b w:val="0"/>
                <w:i/>
                <w:iCs/>
                <w:color w:val="0000FF"/>
              </w:rPr>
              <m:t>log</m:t>
            </m:r>
            <m:ctrlPr>
              <w:rPr>
                <w:rFonts w:ascii="DejaVu Math TeX Gyre" w:hAnsi="DejaVu Math TeX Gyre" w:cs="Times New Roman Regular"/>
                <w:i/>
                <w:iCs/>
                <w:color w:val="0000FF"/>
              </w:rPr>
            </m:ctrlPr>
          </m:fName>
          <m:e>
            <m:r>
              <m:rPr>
                <m:nor/>
              </m:rPr>
              <w:rPr>
                <w:rFonts w:ascii="DejaVu Math TeX Gyre" w:hAnsi="DejaVu Math TeX Gyre" w:cs="Times New Roman Regular"/>
                <w:b w:val="0"/>
                <w:i/>
                <w:iCs/>
                <w:color w:val="0000FF"/>
              </w:rPr>
              <m:t>n</m:t>
            </m:r>
            <m:ctrlPr>
              <w:rPr>
                <w:rFonts w:ascii="DejaVu Math TeX Gyre" w:hAnsi="DejaVu Math TeX Gyre" w:cs="Times New Roman Regular"/>
                <w:i/>
                <w:iCs/>
                <w:color w:val="0000FF"/>
              </w:rPr>
            </m:ctrlPr>
          </m:e>
        </m:func>
      </m:oMath>
      <w:r>
        <w:rPr>
          <w:rFonts w:ascii="Times New Roman Regular" w:hAnsi="Times New Roman Regular" w:cs="Times New Roman Regular"/>
          <w:color w:val="0000FF"/>
        </w:rPr>
        <w:t xml:space="preserve">                       (5)</w:t>
      </w:r>
    </w:p>
    <w:p w14:paraId="52743D77">
      <w:pPr>
        <w:spacing w:line="300" w:lineRule="auto"/>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where L is the model</w:t>
      </w:r>
      <w:r>
        <w:rPr>
          <w:rFonts w:hint="default" w:ascii="Times New Roman Regular" w:hAnsi="Times New Roman Regular" w:cs="Times New Roman Regular"/>
          <w:color w:val="0000FF"/>
          <w:lang w:val="en-US"/>
        </w:rPr>
        <w:t>’</w:t>
      </w:r>
      <w:r>
        <w:rPr>
          <w:rFonts w:ascii="Times New Roman Regular" w:hAnsi="Times New Roman Regular" w:cs="Times New Roman Regular"/>
          <w:color w:val="0000FF"/>
        </w:rPr>
        <w:t>s likelihood, k is the total number of free parameters for a K-component model, and n is the sample size. The value of K corresponding to the minimum BIC is selected as the optimal number of components, ensuring a balance between goodness-of-fit and model complexity.</w:t>
      </w:r>
      <w:r>
        <w:rPr>
          <w:rFonts w:hint="default" w:ascii="Times New Roman Regular" w:hAnsi="Times New Roman Regular" w:cs="Times New Roman Regular"/>
          <w:color w:val="0000FF"/>
          <w:lang w:val="en-US"/>
        </w:rPr>
        <w:t xml:space="preserve"> The GMM was implemented with full covariance type and random_state=42 for reproducibility.</w:t>
      </w:r>
    </w:p>
    <w:p w14:paraId="5066DF69">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 xml:space="preserve">4. Virtual </w:t>
      </w:r>
      <w:r>
        <w:rPr>
          <w:rFonts w:hint="default" w:ascii="Times New Roman Regular" w:hAnsi="Times New Roman Regular" w:cs="Times New Roman Regular"/>
          <w:color w:val="0000FF"/>
          <w:lang w:val="en-US"/>
        </w:rPr>
        <w:t>s</w:t>
      </w:r>
      <w:r>
        <w:rPr>
          <w:rFonts w:ascii="Times New Roman Regular" w:hAnsi="Times New Roman Regular" w:cs="Times New Roman Regular"/>
          <w:color w:val="0000FF"/>
        </w:rPr>
        <w:t xml:space="preserve">ample </w:t>
      </w:r>
      <w:r>
        <w:rPr>
          <w:rFonts w:hint="default" w:ascii="Times New Roman Regular" w:hAnsi="Times New Roman Regular" w:cs="Times New Roman Regular"/>
          <w:color w:val="0000FF"/>
          <w:lang w:val="en-US"/>
        </w:rPr>
        <w:t>g</w:t>
      </w:r>
      <w:r>
        <w:rPr>
          <w:rFonts w:ascii="Times New Roman Regular" w:hAnsi="Times New Roman Regular" w:cs="Times New Roman Regular"/>
          <w:color w:val="0000FF"/>
        </w:rPr>
        <w:t xml:space="preserve">eneration and </w:t>
      </w:r>
      <w:r>
        <w:rPr>
          <w:rFonts w:hint="default" w:ascii="Times New Roman Regular" w:hAnsi="Times New Roman Regular" w:cs="Times New Roman Regular"/>
          <w:color w:val="0000FF"/>
          <w:lang w:val="en-US"/>
        </w:rPr>
        <w:t>i</w:t>
      </w:r>
      <w:r>
        <w:rPr>
          <w:rFonts w:ascii="Times New Roman Regular" w:hAnsi="Times New Roman Regular" w:cs="Times New Roman Regular"/>
          <w:color w:val="0000FF"/>
        </w:rPr>
        <w:t xml:space="preserve">nverse </w:t>
      </w:r>
      <w:r>
        <w:rPr>
          <w:rFonts w:hint="default" w:ascii="Times New Roman Regular" w:hAnsi="Times New Roman Regular" w:cs="Times New Roman Regular"/>
          <w:color w:val="0000FF"/>
          <w:lang w:val="en-US"/>
        </w:rPr>
        <w:t>m</w:t>
      </w:r>
      <w:r>
        <w:rPr>
          <w:rFonts w:ascii="Times New Roman Regular" w:hAnsi="Times New Roman Regular" w:cs="Times New Roman Regular"/>
          <w:color w:val="0000FF"/>
        </w:rPr>
        <w:t>apping</w:t>
      </w:r>
    </w:p>
    <w:p w14:paraId="4F3A3614">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 xml:space="preserve">Based on the optimal GMM, a specified number of virtual points are randomly sampled from its joint probability distribution. </w:t>
      </w:r>
      <w:r>
        <w:rPr>
          <w:rFonts w:hint="eastAsia" w:ascii="Times New Roman Regular" w:hAnsi="Times New Roman Regular" w:cs="Times New Roman Regular"/>
          <w:color w:val="0000FF"/>
        </w:rPr>
        <w:t xml:space="preserve">In this study, </w:t>
      </w:r>
      <w:r>
        <w:rPr>
          <w:rFonts w:hint="eastAsia" w:ascii="Times New Roman Regular" w:hAnsi="Times New Roman Regular" w:cs="Times New Roman Regular"/>
          <w:color w:val="0000FF"/>
          <w:lang w:val="en-US" w:eastAsia="zh-CN"/>
        </w:rPr>
        <w:t xml:space="preserve">generation </w:t>
      </w:r>
      <w:r>
        <w:rPr>
          <w:rFonts w:hint="eastAsia" w:ascii="Times New Roman Regular" w:hAnsi="Times New Roman Regular" w:cs="Times New Roman Regular"/>
          <w:color w:val="0000FF"/>
        </w:rPr>
        <w:t xml:space="preserve">factors ranging from </w:t>
      </w:r>
      <w:r>
        <w:rPr>
          <w:rFonts w:hint="default" w:ascii="Times New Roman Regular" w:hAnsi="Times New Roman Regular" w:cs="Times New Roman Regular"/>
          <w:color w:val="0000FF"/>
          <w:lang w:val="en-US"/>
        </w:rPr>
        <w:t>1x</w:t>
      </w:r>
      <w:r>
        <w:rPr>
          <w:rFonts w:hint="eastAsia" w:ascii="Times New Roman Regular" w:hAnsi="Times New Roman Regular" w:cs="Times New Roman Regular"/>
          <w:color w:val="0000FF"/>
        </w:rPr>
        <w:t xml:space="preserve"> to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the original sample size were tested, with the 10</w:t>
      </w:r>
      <w:r>
        <w:rPr>
          <w:rFonts w:hint="default" w:ascii="Times New Roman Regular" w:hAnsi="Times New Roman Regular" w:cs="Times New Roman Regular"/>
          <w:color w:val="0000FF"/>
          <w:lang w:val="en-US"/>
        </w:rPr>
        <w:t xml:space="preserve">x generation </w:t>
      </w:r>
      <w:r>
        <w:rPr>
          <w:rFonts w:hint="eastAsia" w:ascii="Times New Roman Regular" w:hAnsi="Times New Roman Regular" w:cs="Times New Roman Regular"/>
          <w:color w:val="0000FF"/>
        </w:rPr>
        <w:t>(n_virtual = n_original</w:t>
      </w:r>
      <w:r>
        <w:rPr>
          <w:rFonts w:hint="default" w:ascii="Times New Roman Regular" w:hAnsi="Times New Roman Regular" w:cs="Times New Roman Regular"/>
          <w:color w:val="0000FF"/>
          <w:lang w:val="en-US"/>
        </w:rPr>
        <w:t xml:space="preserve"> x </w:t>
      </w:r>
      <w:r>
        <w:rPr>
          <w:rFonts w:hint="eastAsia" w:ascii="Times New Roman Regular" w:hAnsi="Times New Roman Regular" w:cs="Times New Roman Regular"/>
          <w:color w:val="0000FF"/>
        </w:rPr>
        <w:t xml:space="preserve">10) yielding optimal model performance. </w:t>
      </w:r>
      <w:r>
        <w:rPr>
          <w:rFonts w:ascii="Times New Roman Regular" w:hAnsi="Times New Roman Regular" w:cs="Times New Roman Regular"/>
          <w:color w:val="0000FF"/>
        </w:rPr>
        <w:t xml:space="preserve">This generation process naturally inherits the multi-modality and covariance structure of the original data. </w:t>
      </w:r>
      <w:r>
        <w:rPr>
          <w:rFonts w:hint="eastAsia" w:ascii="Times New Roman Regular" w:hAnsi="Times New Roman Regular" w:cs="Times New Roman Regular"/>
          <w:color w:val="0000FF"/>
        </w:rPr>
        <w:t>Since 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eastAsia" w:ascii="Times New Roman Regular" w:hAnsi="Times New Roman Regular" w:cs="Times New Roman Regular"/>
          <w:color w:val="0000FF"/>
        </w:rPr>
        <w:t xml:space="preserve"> was included in the initial feature space, the generated low-dimensional points inherently contain information corresponding to both input variables and nitrate concentrations</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color w:val="0000FF"/>
        </w:rPr>
        <w:t>Based on the optimal GMM, virtual samples are generated by randomly sampling from the joint probability distribution in the 2D t-SNE latent space. To reconstruct these synthetic 2D points back into the original 8-dimensional geochemical feature space (including 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eastAsia" w:ascii="Times New Roman Regular" w:hAnsi="Times New Roman Regular" w:cs="Times New Roman Regular"/>
          <w:color w:val="0000FF"/>
        </w:rPr>
        <w:t xml:space="preserve"> concentrations), a K-Nearest Neighbors (KNN) regressor is employed as an inverse mapping function</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w:t>
      </w:r>
      <w:r>
        <w:rPr>
          <w:rFonts w:ascii="Times New Roman Regular" w:hAnsi="Times New Roman Regular" w:cs="Times New Roman Regular"/>
          <w:color w:val="0000FF"/>
        </w:rPr>
        <w:t xml:space="preserve">Niu et al., 2025). </w:t>
      </w:r>
      <w:r>
        <w:rPr>
          <w:rFonts w:hint="eastAsia" w:ascii="Times New Roman Regular" w:hAnsi="Times New Roman Regular" w:cs="Times New Roman Regular"/>
          <w:color w:val="0000FF"/>
        </w:rPr>
        <w:t>The KNN regressor was configured with n_neighbors=min(5, n_original-1) to ensure sufficient reference points while maintaining local fidelity.</w:t>
      </w:r>
      <w:r>
        <w:rPr>
          <w:rFonts w:hint="default" w:ascii="Times New Roman Regular" w:hAnsi="Times New Roman Regular" w:cs="Times New Roman Regular"/>
          <w:color w:val="0000FF"/>
          <w:lang w:val="en-US"/>
        </w:rPr>
        <w:t xml:space="preserve"> This neighbor number is selected to balance the smoothness of inverse mapping and the preservation of local data characteristics, avoiding over-smoothing of extreme values. The KNN model is fitted on the original t-SNE embedding results (as independent variables) and the original standardized high-dimensional hydrochemical data (as dependent variables), establishing a non-linear mapping relationship from the low-dimensional latent space to the original high-dimensional feature space. </w:t>
      </w:r>
      <w:r>
        <w:rPr>
          <w:rFonts w:ascii="Times New Roman Regular" w:hAnsi="Times New Roman Regular" w:cs="Times New Roman Regular"/>
          <w:color w:val="0000FF"/>
        </w:rPr>
        <w:t>Finally, the virtual sample set in its original physical units is obtained by applying inverse standardization.</w:t>
      </w:r>
      <w:r>
        <w:rPr>
          <w:rFonts w:hint="default" w:ascii="Times New Roman Regular" w:hAnsi="Times New Roman Regular" w:cs="Times New Roman Regular"/>
          <w:color w:val="0000FF"/>
          <w:lang w:val="en-US"/>
        </w:rPr>
        <w:t xml:space="preserve"> This inverse mapping process synchronously generates the virtual values of all input hydrochemical variables and the corresponding target </w:t>
      </w:r>
      <w:r>
        <w:rPr>
          <w:rFonts w:hint="eastAsia" w:ascii="Times New Roman Regular" w:hAnsi="Times New Roman Regular" w:cs="Times New Roman Regular"/>
          <w:color w:val="0000FF"/>
        </w:rPr>
        <w:t>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default" w:ascii="Times New Roman Regular" w:hAnsi="Times New Roman Regular" w:cs="Times New Roman Regular"/>
          <w:color w:val="0000FF"/>
          <w:lang w:val="en-US"/>
        </w:rPr>
        <w:t xml:space="preserve"> concentration for each virtual sample, ensuring the one-to-one correspondence between input predictors and the target variable required for subsequent random forest (RF) modeling. During subsequent Random Forest modeling, the generated </w:t>
      </w:r>
      <w:r>
        <w:rPr>
          <w:rFonts w:hint="eastAsia" w:ascii="Times New Roman Regular" w:hAnsi="Times New Roman Regular" w:cs="Times New Roman Regular"/>
          <w:color w:val="0000FF"/>
        </w:rPr>
        <w:t>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default" w:ascii="Times New Roman Regular" w:hAnsi="Times New Roman Regular" w:cs="Times New Roman Regular"/>
          <w:color w:val="0000FF"/>
          <w:lang w:val="en-US"/>
        </w:rPr>
        <w:t xml:space="preserve"> values are separated from the predictors and serve as the target variable (y), while the remaining hydrochemical parameters serve as input features (X).</w:t>
      </w:r>
    </w:p>
    <w:p w14:paraId="2A7C064B">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 xml:space="preserve">5. Physical </w:t>
      </w:r>
      <w:r>
        <w:rPr>
          <w:rFonts w:hint="default" w:ascii="Times New Roman Regular" w:hAnsi="Times New Roman Regular" w:cs="Times New Roman Regular"/>
          <w:color w:val="0000FF"/>
          <w:lang w:val="en-US"/>
        </w:rPr>
        <w:t>c</w:t>
      </w:r>
      <w:r>
        <w:rPr>
          <w:rFonts w:ascii="Times New Roman Regular" w:hAnsi="Times New Roman Regular" w:cs="Times New Roman Regular"/>
          <w:color w:val="0000FF"/>
        </w:rPr>
        <w:t xml:space="preserve">onstraints and </w:t>
      </w:r>
      <w:r>
        <w:rPr>
          <w:rFonts w:hint="default" w:ascii="Times New Roman Regular" w:hAnsi="Times New Roman Regular" w:cs="Times New Roman Regular"/>
          <w:color w:val="0000FF"/>
          <w:lang w:val="en-US"/>
        </w:rPr>
        <w:t>q</w:t>
      </w:r>
      <w:r>
        <w:rPr>
          <w:rFonts w:ascii="Times New Roman Regular" w:hAnsi="Times New Roman Regular" w:cs="Times New Roman Regular"/>
          <w:color w:val="0000FF"/>
        </w:rPr>
        <w:t xml:space="preserve">uality </w:t>
      </w:r>
      <w:r>
        <w:rPr>
          <w:rFonts w:hint="default" w:ascii="Times New Roman Regular" w:hAnsi="Times New Roman Regular" w:cs="Times New Roman Regular"/>
          <w:color w:val="0000FF"/>
          <w:lang w:val="en-US"/>
        </w:rPr>
        <w:t>c</w:t>
      </w:r>
      <w:r>
        <w:rPr>
          <w:rFonts w:ascii="Times New Roman Regular" w:hAnsi="Times New Roman Regular" w:cs="Times New Roman Regular"/>
          <w:color w:val="0000FF"/>
        </w:rPr>
        <w:t>ontrol</w:t>
      </w:r>
    </w:p>
    <w:p w14:paraId="730A37D2">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For the target variable,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ascii="Times New Roman Regular" w:hAnsi="Times New Roman Regular" w:cs="Times New Roman Regular"/>
          <w:color w:val="0000FF"/>
        </w:rPr>
        <w:t>, a non-negativity constraint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 0 mg L</w:t>
      </w:r>
      <w:r>
        <w:rPr>
          <w:rFonts w:hint="eastAsia" w:ascii="Times New Roman Regular" w:hAnsi="Times New Roman Regular" w:cs="Times New Roman Regular"/>
          <w:color w:val="0000FF"/>
          <w:vertAlign w:val="superscript"/>
        </w:rPr>
        <w:t>-1</w:t>
      </w:r>
      <w:r>
        <w:rPr>
          <w:rFonts w:ascii="Times New Roman Regular" w:hAnsi="Times New Roman Regular" w:cs="Times New Roman Regular"/>
          <w:color w:val="0000FF"/>
        </w:rPr>
        <w:t xml:space="preserve">) is imposed to prevent non-physical solutions that may arise from the regression approximation. </w:t>
      </w:r>
      <w:r>
        <w:rPr>
          <w:rFonts w:hint="eastAsia" w:ascii="Times New Roman Regular" w:hAnsi="Times New Roman Regular" w:cs="Times New Roman Regular"/>
          <w:color w:val="0000FF"/>
        </w:rPr>
        <w:t>This constraint was enforced using numpy.clip() function post-generation.</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Other variables, such as pH and ORP, are allowed to fluctuate within reasonable ranges without hard clipping to retain the model's flexibility. The consistency between the virtual and measured samples is validated by comparing their statistical characteristics, including mean, standard deviation, coefficient of variation, range of extreme values, and boxplot distributions.</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This comparison confirms that the generated data are highly consistent with the original data in terms of statistical properties, without introducing systematic bias or outliers.</w:t>
      </w:r>
      <w:r>
        <w:rPr>
          <w:rFonts w:hint="default" w:ascii="Times New Roman Regular" w:hAnsi="Times New Roman Regular" w:cs="Times New Roman Regular"/>
          <w:color w:val="0000FF"/>
          <w:lang w:val="en-US"/>
        </w:rPr>
        <w:t xml:space="preserve"> The generated virtual samples are complete synthetic observations containing both the predictor variables and nitrate concentrations. These are concatenated with the original measured data to form an augmented training dataset. During Random Forest (RF) training, the 7 water quality parameters (pH, T, EC, DO, ORP, Salt, TDS) serve as input features (X), while the 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default" w:ascii="Times New Roman Regular" w:hAnsi="Times New Roman Regular" w:cs="Times New Roman Regular"/>
          <w:color w:val="0000FF"/>
          <w:lang w:val="en-US"/>
        </w:rPr>
        <w:t xml:space="preserve"> column (from both original and virtual samples) serves as the target variable (y). This approach effectively increases the training sample size while maintaining the geochemical integrity of the feature-target relationships, thereby mitigating small-sample bias and improving the model's ability to capture heavy-tailed distributions.</w:t>
      </w:r>
    </w:p>
    <w:p w14:paraId="6A0C658D">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The advantages of this method are as follows:</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① t-SNE excels at capturing local neighborhood relationships, effectively separating implicit subgroups under different hydrological conditions.</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② The GMM provides a probabilistic generative framework, supporting reasonable extrapolation for heavy-tailed distributions and extreme values.</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③ The KNN-based inverse mapping circumvents the need for large training datasets, which is a limitation of traditional autoencoders, making it particularly suitable for small-sample scenarios (</w:t>
      </w:r>
      <w:r>
        <w:rPr>
          <w:rFonts w:ascii="Times New Roman Regular" w:hAnsi="Times New Roman Regular" w:cs="Times New Roman Regular"/>
          <w:color w:val="0000FF"/>
        </w:rPr>
        <w:t>Tang et al., 2022; Razavi-Termeh et al., 2024).</w:t>
      </w:r>
      <w:r>
        <w:rPr>
          <w:rFonts w:hint="default" w:ascii="Times New Roman Regular" w:hAnsi="Times New Roman Regular" w:cs="Times New Roman Regular"/>
          <w:color w:val="0000FF"/>
          <w:lang w:val="en-US"/>
        </w:rPr>
        <w:t xml:space="preserve"> ④ By modeling the joint distribution of predictors and target, the method ensures that generated virtual nitrate concentrations are chemically consistent with the accompanying hydrochemical indicators, avoiding unrealistic combinations that could degrade model performance.</w:t>
      </w:r>
    </w:p>
    <w:p w14:paraId="78A0D292">
      <w:pPr>
        <w:spacing w:line="300" w:lineRule="auto"/>
        <w:rPr>
          <w:rFonts w:ascii="Times New Roman Regular" w:hAnsi="Times New Roman Regular" w:cs="Times New Roman Regular"/>
          <w:color w:val="0000FF"/>
        </w:rPr>
      </w:pPr>
    </w:p>
    <w:p w14:paraId="4CBB3103">
      <w:pPr>
        <w:spacing w:line="300" w:lineRule="auto"/>
        <w:outlineLvl w:val="1"/>
        <w:rPr>
          <w:rFonts w:ascii="Times New Roman Regular" w:hAnsi="Times New Roman Regular" w:cs="Times New Roman Regular"/>
          <w:color w:val="0000FF"/>
        </w:rPr>
      </w:pPr>
      <w:r>
        <w:rPr>
          <w:rFonts w:ascii="Times New Roman Regular" w:hAnsi="Times New Roman Regular" w:cs="Times New Roman Regular"/>
          <w:color w:val="0000FF"/>
        </w:rPr>
        <w:t xml:space="preserve">2.5 </w:t>
      </w:r>
      <w:r>
        <w:rPr>
          <w:rFonts w:hint="eastAsia" w:ascii="Times New Roman Regular" w:hAnsi="Times New Roman Regular" w:cs="Times New Roman Regular"/>
          <w:color w:val="0000FF"/>
        </w:rPr>
        <w:t xml:space="preserve">Machine </w:t>
      </w:r>
      <w:r>
        <w:rPr>
          <w:rFonts w:ascii="Times New Roman Regular" w:hAnsi="Times New Roman Regular" w:cs="Times New Roman Regular"/>
          <w:color w:val="0000FF"/>
        </w:rPr>
        <w:t>learning methods</w:t>
      </w:r>
    </w:p>
    <w:p w14:paraId="4454113D">
      <w:pPr>
        <w:spacing w:line="300" w:lineRule="auto"/>
        <w:outlineLvl w:val="2"/>
        <w:rPr>
          <w:rFonts w:ascii="Times New Roman Regular" w:hAnsi="Times New Roman Regular" w:cs="Times New Roman Regular"/>
          <w:color w:val="0000FF"/>
        </w:rPr>
      </w:pPr>
      <w:r>
        <w:rPr>
          <w:rFonts w:ascii="Times New Roman Regular" w:hAnsi="Times New Roman Regular" w:cs="Times New Roman Regular"/>
          <w:color w:val="0000FF"/>
        </w:rPr>
        <w:t>2.5.1 Random forest</w:t>
      </w:r>
    </w:p>
    <w:p w14:paraId="20D8DC56">
      <w:pPr>
        <w:spacing w:line="300" w:lineRule="auto"/>
        <w:ind w:firstLine="420"/>
        <w:rPr>
          <w:rFonts w:hint="eastAsia" w:ascii="Times New Roman Regular" w:hAnsi="Times New Roman Regular" w:cs="Times New Roman Regular"/>
          <w:color w:val="0000FF"/>
        </w:rPr>
      </w:pPr>
      <w:r>
        <w:rPr>
          <w:rFonts w:ascii="Times New Roman Regular" w:hAnsi="Times New Roman Regular" w:cs="Times New Roman Regular"/>
          <w:color w:val="0000FF"/>
        </w:rPr>
        <w:t>In this study, Random Forest (RF) was adopted as the baseline model. As an ensemble learning method that leverages bootstrap sampling and random feature selection, RF builds numerous decision trees and integrates their predictions (</w:t>
      </w:r>
      <w:r>
        <w:rPr>
          <w:rFonts w:ascii="Times New Roman Regular" w:hAnsi="Times New Roman Regular" w:cs="Times New Roman Regular"/>
          <w:color w:val="0000FF"/>
        </w:rPr>
        <w:t>Abderzak et al., 2025). This approach effectively suppresses overfitting and improves generalization performance, making it especially well-suited for environmental data modeling scenarios involving small samples, high dimensionality, non-linearity, and multicollinearity (</w:t>
      </w:r>
      <w:r>
        <w:rPr>
          <w:rFonts w:ascii="Times New Roman Regular" w:hAnsi="Times New Roman Regular" w:cs="Times New Roman Regular"/>
          <w:color w:val="0000FF"/>
        </w:rPr>
        <w:t xml:space="preserve">Boddu et al., 2025). </w:t>
      </w:r>
      <w:r>
        <w:rPr>
          <w:rFonts w:hint="eastAsia" w:ascii="Times New Roman Regular" w:hAnsi="Times New Roman Regular" w:cs="Times New Roman Regular"/>
          <w:color w:val="0000FF"/>
        </w:rPr>
        <w:t>The core principle of the RF regression model is to generate multiple independent decision tree learners through bootstrap resampling of the training dataset</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xml:space="preserve"> where each tree is trained on a random subset of samples and a random subset of input features at each node split. The final prediction is the average of the outputs from all individual decision trees, which effectively reduces the variance of the model and suppresses overfitting. For each node split, the optimal split feature and threshold are determined by minimizing the mean squared error (MSE) reduction, which is derived from the Gini impurity criterion and mathematically defined as:</w:t>
      </w:r>
    </w:p>
    <w:p w14:paraId="60E66591">
      <w:pPr>
        <w:spacing w:line="300" w:lineRule="auto"/>
        <w:ind w:firstLine="420"/>
        <w:jc w:val="right"/>
        <w:rPr>
          <w:rFonts w:hint="default" w:ascii="Times New Roman Regular" w:hAnsi="Times New Roman Regular" w:cs="Times New Roman Regular"/>
          <w:color w:val="0000FF"/>
          <w:lang w:val="en-US"/>
        </w:rPr>
      </w:pPr>
      <m:oMath>
        <m:r>
          <m:rPr/>
          <w:rPr>
            <w:rFonts w:hint="default" w:ascii="DejaVu Math TeX Gyre" w:hAnsi="DejaVu Math TeX Gyre"/>
            <w:color w:val="0000FF"/>
            <w:sz w:val="21"/>
          </w:rPr>
          <m:t>Gini=1−</m:t>
        </m:r>
        <m:nary>
          <m:naryPr>
            <m:chr m:val="∑"/>
            <m:limLoc m:val="undOvr"/>
            <m:ctrlPr>
              <w:rPr>
                <w:rFonts w:hint="default" w:ascii="DejaVu Math TeX Gyre" w:hAnsi="DejaVu Math TeX Gyre"/>
                <w:i/>
                <w:iCs w:val="0"/>
                <w:color w:val="0000FF"/>
                <w:sz w:val="21"/>
              </w:rPr>
            </m:ctrlPr>
          </m:naryPr>
          <m:sub>
            <m:r>
              <m:rPr/>
              <w:rPr>
                <w:rFonts w:hint="default" w:ascii="DejaVu Math TeX Gyre" w:hAnsi="DejaVu Math TeX Gyre"/>
                <w:color w:val="0000FF"/>
                <w:sz w:val="21"/>
              </w:rPr>
              <m:t>i=1</m:t>
            </m:r>
            <m:ctrlPr>
              <w:rPr>
                <w:rFonts w:ascii="DejaVu Math TeX Gyre" w:hAnsi="DejaVu Math TeX Gyre"/>
                <w:i/>
                <w:iCs w:val="0"/>
                <w:color w:val="0000FF"/>
                <w:sz w:val="21"/>
              </w:rPr>
            </m:ctrlPr>
          </m:sub>
          <m:sup>
            <m:r>
              <m:rPr/>
              <w:rPr>
                <w:rFonts w:hint="default" w:ascii="DejaVu Math TeX Gyre" w:hAnsi="DejaVu Math TeX Gyre"/>
                <w:color w:val="0000FF"/>
                <w:sz w:val="21"/>
              </w:rPr>
              <m:t>n</m:t>
            </m:r>
            <m:ctrlPr>
              <w:rPr>
                <w:rFonts w:ascii="DejaVu Math TeX Gyre" w:hAnsi="DejaVu Math TeX Gyre"/>
                <w:i/>
                <w:iCs w:val="0"/>
                <w:color w:val="0000FF"/>
                <w:sz w:val="21"/>
              </w:rPr>
            </m:ctrlPr>
          </m:sup>
          <m:e>
            <m:sSubSup>
              <m:sSubSupPr>
                <m:ctrlPr>
                  <w:rPr>
                    <w:rFonts w:hint="default" w:ascii="DejaVu Math TeX Gyre" w:hAnsi="DejaVu Math TeX Gyre"/>
                    <w:i/>
                    <w:iCs w:val="0"/>
                    <w:color w:val="0000FF"/>
                    <w:sz w:val="21"/>
                  </w:rPr>
                </m:ctrlPr>
              </m:sSubSupPr>
              <m:e>
                <m:r>
                  <m:rPr/>
                  <w:rPr>
                    <w:rFonts w:hint="default" w:ascii="DejaVu Math TeX Gyre" w:hAnsi="DejaVu Math TeX Gyre"/>
                    <w:color w:val="0000FF"/>
                    <w:sz w:val="21"/>
                  </w:rPr>
                  <m:t>p</m:t>
                </m:r>
                <m:ctrlPr>
                  <w:rPr>
                    <w:rFonts w:ascii="DejaVu Math TeX Gyre" w:hAnsi="DejaVu Math TeX Gyre"/>
                    <w:i/>
                    <w:iCs w:val="0"/>
                    <w:color w:val="0000FF"/>
                    <w:sz w:val="21"/>
                  </w:rPr>
                </m:ctrlPr>
              </m:e>
              <m:sub>
                <m:r>
                  <m:rPr/>
                  <w:rPr>
                    <w:rFonts w:hint="default" w:ascii="DejaVu Math TeX Gyre" w:hAnsi="DejaVu Math TeX Gyre"/>
                    <w:color w:val="0000FF"/>
                    <w:sz w:val="21"/>
                  </w:rPr>
                  <m:t>i</m:t>
                </m:r>
                <m:ctrlPr>
                  <w:rPr>
                    <w:rFonts w:ascii="DejaVu Math TeX Gyre" w:hAnsi="DejaVu Math TeX Gyre"/>
                    <w:i/>
                    <w:iCs w:val="0"/>
                    <w:color w:val="0000FF"/>
                    <w:sz w:val="21"/>
                  </w:rPr>
                </m:ctrlPr>
              </m:sub>
              <m:sup>
                <m:r>
                  <m:rPr/>
                  <w:rPr>
                    <w:rFonts w:hint="default" w:ascii="DejaVu Math TeX Gyre" w:hAnsi="DejaVu Math TeX Gyre"/>
                    <w:color w:val="0000FF"/>
                    <w:sz w:val="21"/>
                  </w:rPr>
                  <m:t>2</m:t>
                </m:r>
                <m:ctrlPr>
                  <w:rPr>
                    <w:rFonts w:ascii="DejaVu Math TeX Gyre" w:hAnsi="DejaVu Math TeX Gyre"/>
                    <w:i/>
                    <w:iCs w:val="0"/>
                    <w:color w:val="0000FF"/>
                    <w:sz w:val="21"/>
                  </w:rPr>
                </m:ctrlPr>
              </m:sup>
            </m:sSubSup>
            <m:ctrlPr>
              <w:rPr>
                <w:rFonts w:hint="default" w:ascii="DejaVu Math TeX Gyre" w:hAnsi="DejaVu Math TeX Gyre"/>
                <w:i/>
                <w:iCs w:val="0"/>
                <w:color w:val="0000FF"/>
                <w:sz w:val="21"/>
              </w:rPr>
            </m:ctrlPr>
          </m:e>
        </m:nary>
      </m:oMath>
      <w:r>
        <w:rPr>
          <w:rFonts w:hint="default" w:hAnsi="DejaVu Math TeX Gyre"/>
          <w:i w:val="0"/>
          <w:iCs w:val="0"/>
          <w:color w:val="0000FF"/>
          <w:sz w:val="21"/>
          <w:lang w:val="en-US"/>
        </w:rPr>
        <w:t xml:space="preserve">                          </w:t>
      </w:r>
      <w:r>
        <w:rPr>
          <w:rFonts w:hint="default" w:ascii="Times New Roman Regular" w:hAnsi="Times New Roman Regular" w:cs="Times New Roman Regular"/>
          <w:i w:val="0"/>
          <w:iCs w:val="0"/>
          <w:color w:val="0000FF"/>
          <w:sz w:val="21"/>
          <w:lang w:val="en-US"/>
        </w:rPr>
        <w:t xml:space="preserve"> (6)</w:t>
      </w:r>
    </w:p>
    <w:p w14:paraId="779F35AD">
      <w:pPr>
        <w:spacing w:line="300" w:lineRule="auto"/>
        <w:ind w:firstLine="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 xml:space="preserve">where </w:t>
      </w:r>
      <w:r>
        <w:rPr>
          <w:rFonts w:hint="default" w:ascii="Times New Roman Italic" w:hAnsi="Times New Roman Italic" w:cs="Times New Roman Italic"/>
          <w:i/>
          <w:iCs/>
          <w:color w:val="0000FF"/>
          <w:lang w:val="en-US"/>
        </w:rPr>
        <w:t>P</w:t>
      </w:r>
      <w:r>
        <w:rPr>
          <w:rFonts w:hint="default" w:ascii="Times New Roman Italic" w:hAnsi="Times New Roman Italic" w:cs="Times New Roman Italic"/>
          <w:i/>
          <w:iCs/>
          <w:color w:val="0000FF"/>
          <w:vertAlign w:val="subscript"/>
          <w:lang w:val="en-US" w:eastAsia="zh-CN"/>
        </w:rPr>
        <w:t>i</w:t>
      </w:r>
      <w:r>
        <w:rPr>
          <w:rFonts w:hint="default" w:ascii="Times New Roman Italic" w:hAnsi="Times New Roman Italic" w:cs="Times New Roman Italic"/>
          <w:i/>
          <w:iCs/>
          <w:color w:val="0000FF"/>
        </w:rPr>
        <w:t xml:space="preserve"> </w:t>
      </w:r>
      <w:r>
        <w:rPr>
          <w:rFonts w:hint="eastAsia" w:ascii="Times New Roman Regular" w:hAnsi="Times New Roman Regular" w:cs="Times New Roman Regular"/>
          <w:color w:val="0000FF"/>
        </w:rPr>
        <w:t>is the proportion of samples belonging to the i-th interval of the target variable in the node. For regression tasks, the Gini impurity is extended to the MSE reduction criterion, which quantifies the decrease in the variance of the target variable after the node split.</w:t>
      </w:r>
    </w:p>
    <w:p w14:paraId="68262022">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Hyperparameters were configured based on a preliminary grid search and domain expertise: n_estimators=100, max_depth=5, min_samples_split=6, min_samples_leaf=3, and max_features=</w:t>
      </w:r>
      <m:oMath>
        <m:rad>
          <m:radPr>
            <m:degHide m:val="1"/>
            <m:ctrlPr>
              <w:rPr>
                <w:rFonts w:ascii="DejaVu Math TeX Gyre" w:hAnsi="DejaVu Math TeX Gyre" w:cs="Times New Roman Regular"/>
                <w:color w:val="0000FF"/>
              </w:rPr>
            </m:ctrlPr>
          </m:radPr>
          <m:deg>
            <m:ctrlPr>
              <w:rPr>
                <w:rFonts w:ascii="DejaVu Math TeX Gyre" w:hAnsi="DejaVu Math TeX Gyre" w:cs="Times New Roman Regular"/>
                <w:color w:val="0000FF"/>
              </w:rPr>
            </m:ctrlPr>
          </m:deg>
          <m:e>
            <m:r>
              <m:rPr>
                <m:nor/>
                <m:sty m:val="p"/>
              </m:rPr>
              <w:rPr>
                <w:rFonts w:ascii="DejaVu Math TeX Gyre" w:hAnsi="DejaVu Math TeX Gyre" w:cs="Times New Roman Regular"/>
                <w:b w:val="0"/>
                <w:i w:val="0"/>
                <w:color w:val="0000FF"/>
              </w:rPr>
              <m:t>p</m:t>
            </m:r>
            <m:ctrlPr>
              <w:rPr>
                <w:rFonts w:ascii="DejaVu Math TeX Gyre" w:hAnsi="DejaVu Math TeX Gyre" w:cs="Times New Roman Regular"/>
                <w:color w:val="0000FF"/>
              </w:rPr>
            </m:ctrlPr>
          </m:e>
        </m:rad>
      </m:oMath>
      <w:r>
        <w:rPr>
          <w:rFonts w:ascii="Times New Roman Regular" w:hAnsi="Times New Roman Regular" w:cs="Times New Roman Regular"/>
          <w:color w:val="0000FF"/>
        </w:rPr>
        <w:t>. For the interpretation of driving mechanisms, feature importance was quantified by the mean decrease in Gini impurity (Gini Importance) to identify the critical hydrogeochemical indicator factors (</w:t>
      </w:r>
      <w:r>
        <w:rPr>
          <w:rFonts w:ascii="Times New Roman Regular" w:hAnsi="Times New Roman Regular" w:cs="Times New Roman Regular"/>
          <w:color w:val="0000FF"/>
        </w:rPr>
        <w:t>Kaur et al., 2025).</w:t>
      </w:r>
    </w:p>
    <w:p w14:paraId="19ABA36D">
      <w:pPr>
        <w:spacing w:line="300" w:lineRule="auto"/>
        <w:rPr>
          <w:rFonts w:ascii="Times New Roman Regular" w:hAnsi="Times New Roman Regular" w:cs="Times New Roman Regular"/>
          <w:color w:val="0000FF"/>
        </w:rPr>
      </w:pPr>
    </w:p>
    <w:p w14:paraId="68A955BA">
      <w:pPr>
        <w:spacing w:line="300" w:lineRule="auto"/>
        <w:outlineLvl w:val="2"/>
        <w:rPr>
          <w:rFonts w:ascii="Times New Roman Regular" w:hAnsi="Times New Roman Regular" w:cs="Times New Roman Regular"/>
          <w:color w:val="0000FF"/>
        </w:rPr>
      </w:pPr>
      <w:r>
        <w:rPr>
          <w:rFonts w:ascii="Times New Roman Regular" w:hAnsi="Times New Roman Regular" w:cs="Times New Roman Regular"/>
          <w:color w:val="0000FF"/>
        </w:rPr>
        <w:t xml:space="preserve">2.5.2 </w:t>
      </w:r>
      <w:r>
        <w:rPr>
          <w:rFonts w:hint="eastAsia" w:ascii="Times New Roman Regular" w:hAnsi="Times New Roman Regular" w:cs="Times New Roman Regular"/>
          <w:color w:val="0000FF"/>
        </w:rPr>
        <w:t>H</w:t>
      </w:r>
      <w:r>
        <w:rPr>
          <w:rFonts w:ascii="Times New Roman Regular" w:hAnsi="Times New Roman Regular" w:cs="Times New Roman Regular"/>
          <w:color w:val="0000FF"/>
        </w:rPr>
        <w:t>ybrid quantum-classical random forest</w:t>
      </w:r>
    </w:p>
    <w:p w14:paraId="434AA533">
      <w:pPr>
        <w:spacing w:line="300" w:lineRule="auto"/>
        <w:ind w:firstLine="420"/>
        <w:rPr>
          <w:rFonts w:hint="eastAsia" w:ascii="Times New Roman Regular" w:hAnsi="Times New Roman Regular" w:cs="Times New Roman Regular" w:eastAsiaTheme="minorEastAsia"/>
          <w:color w:val="0000FF"/>
          <w:lang w:val="en-US" w:eastAsia="zh-CN"/>
        </w:rPr>
      </w:pPr>
      <w:r>
        <w:rPr>
          <w:rFonts w:ascii="Times New Roman Regular" w:hAnsi="Times New Roman Regular" w:cs="Times New Roman Regular"/>
          <w:color w:val="0000FF"/>
        </w:rPr>
        <w:t xml:space="preserve">Based on the random forest, a </w:t>
      </w:r>
      <w:r>
        <w:rPr>
          <w:rFonts w:hint="eastAsia" w:ascii="Times New Roman Regular" w:hAnsi="Times New Roman Regular" w:cs="Times New Roman Regular"/>
          <w:color w:val="0000FF"/>
          <w:lang w:val="en-US" w:eastAsia="zh-CN"/>
        </w:rPr>
        <w:t>h</w:t>
      </w:r>
      <w:r>
        <w:rPr>
          <w:rFonts w:ascii="Times New Roman Regular" w:hAnsi="Times New Roman Regular" w:cs="Times New Roman Regular"/>
          <w:color w:val="0000FF"/>
        </w:rPr>
        <w:t xml:space="preserve">ybrid </w:t>
      </w:r>
      <w:r>
        <w:rPr>
          <w:rFonts w:hint="default" w:ascii="Times New Roman Regular" w:hAnsi="Times New Roman Regular" w:cs="Times New Roman Regular"/>
          <w:color w:val="0000FF"/>
          <w:lang w:val="en-US"/>
        </w:rPr>
        <w:t>q</w:t>
      </w:r>
      <w:r>
        <w:rPr>
          <w:rFonts w:ascii="Times New Roman Regular" w:hAnsi="Times New Roman Regular" w:cs="Times New Roman Regular"/>
          <w:color w:val="0000FF"/>
        </w:rPr>
        <w:t>uantum-</w:t>
      </w:r>
      <w:r>
        <w:rPr>
          <w:rFonts w:hint="default" w:ascii="Times New Roman Regular" w:hAnsi="Times New Roman Regular" w:cs="Times New Roman Regular"/>
          <w:color w:val="0000FF"/>
          <w:lang w:val="en-US"/>
        </w:rPr>
        <w:t xml:space="preserve">enhanced </w:t>
      </w:r>
      <w:r>
        <w:rPr>
          <w:rFonts w:ascii="Times New Roman Regular" w:hAnsi="Times New Roman Regular" w:cs="Times New Roman Regular"/>
          <w:color w:val="0000FF"/>
        </w:rPr>
        <w:t>Random Forest model was constructed, integrating quantum feature enhancement with classical random forests. The core idea of the model is: utilizing a Parameterized Quantum Circuit (PQC) to perform quantum feature encoding on standardized input features, generating high-dimensional quantum features with non-linear entanglement properties (</w:t>
      </w:r>
      <w:r>
        <w:rPr>
          <w:rFonts w:ascii="Times New Roman Regular" w:hAnsi="Times New Roman Regular" w:cs="Times New Roman Regular"/>
          <w:color w:val="0000FF"/>
        </w:rPr>
        <w:t>Naresh et al., 2025). These are then concatenated with the original features to construct an enhanced hybrid feature space, which is finally fed into a random forest regressor for modeling (</w:t>
      </w:r>
      <w:r>
        <w:rPr>
          <w:rFonts w:ascii="Times New Roman Regular" w:hAnsi="Times New Roman Regular" w:cs="Times New Roman Regular"/>
          <w:color w:val="0000FF"/>
        </w:rPr>
        <w:t>Lamichhane et al., 2025).</w:t>
      </w:r>
      <w:r>
        <w:rPr>
          <w:rFonts w:hint="eastAsia" w:ascii="Times New Roman Regular" w:hAnsi="Times New Roman Regular" w:cs="Times New Roman Regular"/>
          <w:color w:val="0000FF"/>
          <w:lang w:val="en-US" w:eastAsia="zh-CN"/>
        </w:rPr>
        <w:t xml:space="preserve"> This hybrid framework retains the superior ensemble learning performance of the classical RF model, while introducing quantum-enhanced feature representations to improve the model's ability to capture complex non-linear relationships in small-sample datasets, without relying on physical quantum hardware.</w:t>
      </w:r>
    </w:p>
    <w:p w14:paraId="21B06D32">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(1) Quantum Feature Encoding</w:t>
      </w:r>
    </w:p>
    <w:p w14:paraId="0859DE93">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Quantum state transformation of classical data is achieved based on the Z-feature map in quantum computing (</w:t>
      </w:r>
      <w:r>
        <w:rPr>
          <w:rFonts w:ascii="Times New Roman Regular" w:hAnsi="Times New Roman Regular" w:cs="Times New Roman Regular"/>
          <w:color w:val="0000FF"/>
        </w:rPr>
        <w:t>Vedavyasa et al., 2025). The ZFeatureMap maps the classical high-dimensional feature space into a quantum Hilbert space through single-qubit Z-gate operations and two-qubit CZ-gate entanglement operations (</w:t>
      </w:r>
      <w:r>
        <w:rPr>
          <w:rFonts w:ascii="Times New Roman Regular" w:hAnsi="Times New Roman Regular" w:cs="Times New Roman Regular"/>
          <w:color w:val="0000FF"/>
        </w:rPr>
        <w:t>Khalil et al., 2025).</w:t>
      </w:r>
      <w:r>
        <w:rPr>
          <w:rFonts w:hint="eastAsia"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color w:val="0000FF"/>
        </w:rPr>
        <w:t>In this study, the number of qubits was set equal to the number of input features (7 qubits for in-situ hydrochemical parameters, corresponding to pH, T, EC, DO, ORP, Salt, TDS), and the repetition layers (reps) were set to 1 to prevent circuit depth-induced noise while maintaining expressibility. This single-layer circuit design avoids the exponential growth of quantum state noise with increasing circuit depth, which is critical for ensuring the stability of feature generation in classical simulation environments.</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Its core advantage lies in obtaining quantum features via analytical calculation of quantum state vectors, thereby avoiding noise interference introduced by quantum sampling and ensuring feature stability. The ZFeatureMap provided by Qiskit is used as the feature encoding circuit, with its Hamiltonian form given by (</w:t>
      </w:r>
      <w:r>
        <w:rPr>
          <w:rFonts w:ascii="Times New Roman Regular" w:hAnsi="Times New Roman Regular" w:cs="Times New Roman Regular"/>
          <w:color w:val="0000FF"/>
        </w:rPr>
        <w:t>Tehrani et al., 2024):</w:t>
      </w:r>
    </w:p>
    <w:p w14:paraId="7ABC64D9">
      <w:pPr>
        <w:spacing w:line="300" w:lineRule="auto"/>
        <w:jc w:val="right"/>
        <w:rPr>
          <w:rFonts w:ascii="Times New Roman Regular" w:hAnsi="Times New Roman Regular" w:cs="Times New Roman Regular"/>
          <w:color w:val="0000FF"/>
        </w:rPr>
      </w:pPr>
      <m:oMath>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b w:val="0"/>
                <w:i/>
                <w:iCs/>
                <w:color w:val="0000FF"/>
                <w:sz w:val="18"/>
                <w:szCs w:val="18"/>
              </w:rPr>
              <m:t>U</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ZMap</m:t>
            </m:r>
            <m:ctrlPr>
              <w:rPr>
                <w:rFonts w:ascii="DejaVu Math TeX Gyre" w:hAnsi="DejaVu Math TeX Gyre" w:cs="Times New Roman Regular"/>
                <w:i/>
                <w:iCs/>
                <w:color w:val="0000FF"/>
                <w:sz w:val="18"/>
                <w:szCs w:val="18"/>
              </w:rPr>
            </m:ctrlPr>
          </m:sub>
        </m:sSub>
        <m:r>
          <m:rPr>
            <m:nor/>
          </m:rPr>
          <w:rPr>
            <w:rFonts w:ascii="DejaVu Math TeX Gyre" w:hAnsi="DejaVu Math TeX Gyre" w:cs="Times New Roman Regular"/>
            <w:b w:val="0"/>
            <w:i/>
            <w:iCs/>
            <w:color w:val="0000FF"/>
            <w:sz w:val="18"/>
            <w:szCs w:val="18"/>
          </w:rPr>
          <m:t>(x)=</m:t>
        </m:r>
        <m:nary>
          <m:naryPr>
            <m:chr m:val="∏"/>
            <m:limLoc m:val="undOvr"/>
            <m:ctrlPr>
              <w:rPr>
                <w:rFonts w:ascii="DejaVu Math TeX Gyre" w:hAnsi="DejaVu Math TeX Gyre" w:cs="Times New Roman Regular"/>
                <w:i/>
                <w:iCs/>
                <w:color w:val="0000FF"/>
                <w:sz w:val="18"/>
                <w:szCs w:val="18"/>
              </w:rPr>
            </m:ctrlPr>
          </m:naryPr>
          <m:sub>
            <m:r>
              <m:rPr>
                <m:nor/>
              </m:rPr>
              <w:rPr>
                <w:rFonts w:ascii="DejaVu Math TeX Gyre" w:hAnsi="DejaVu Math TeX Gyre" w:cs="Times New Roman Regular"/>
                <w:b w:val="0"/>
                <w:i/>
                <w:iCs/>
                <w:color w:val="0000FF"/>
                <w:sz w:val="18"/>
                <w:szCs w:val="18"/>
              </w:rPr>
              <m:t>k=1</m:t>
            </m:r>
            <m:ctrlPr>
              <w:rPr>
                <w:rFonts w:ascii="DejaVu Math TeX Gyre" w:hAnsi="DejaVu Math TeX Gyre" w:cs="Times New Roman Regular"/>
                <w:i/>
                <w:iCs/>
                <w:color w:val="0000FF"/>
                <w:sz w:val="18"/>
                <w:szCs w:val="18"/>
              </w:rPr>
            </m:ctrlPr>
          </m:sub>
          <m:sup>
            <m:r>
              <m:rPr>
                <m:nor/>
              </m:rPr>
              <w:rPr>
                <w:rFonts w:ascii="DejaVu Math TeX Gyre" w:hAnsi="DejaVu Math TeX Gyre" w:cs="Times New Roman Regular"/>
                <w:b w:val="0"/>
                <w:i/>
                <w:iCs/>
                <w:color w:val="0000FF"/>
                <w:sz w:val="18"/>
                <w:szCs w:val="18"/>
              </w:rPr>
              <m:t>R</m:t>
            </m:r>
            <m:ctrlPr>
              <w:rPr>
                <w:rFonts w:ascii="DejaVu Math TeX Gyre" w:hAnsi="DejaVu Math TeX Gyre" w:cs="Times New Roman Regular"/>
                <w:i/>
                <w:iCs/>
                <w:color w:val="0000FF"/>
                <w:sz w:val="18"/>
                <w:szCs w:val="18"/>
              </w:rPr>
            </m:ctrlPr>
          </m:sup>
          <m:e>
            <m:d>
              <m:dPr>
                <m:begChr m:val="["/>
                <m:endChr m:val="]"/>
                <m:ctrlPr>
                  <w:rPr>
                    <w:rFonts w:ascii="DejaVu Math TeX Gyre" w:hAnsi="DejaVu Math TeX Gyre" w:cs="Times New Roman Regular"/>
                    <w:i/>
                    <w:iCs/>
                    <w:color w:val="0000FF"/>
                    <w:sz w:val="18"/>
                    <w:szCs w:val="18"/>
                  </w:rPr>
                </m:ctrlPr>
              </m:dPr>
              <m:e>
                <m:nary>
                  <m:naryPr>
                    <m:chr m:val="⨂"/>
                    <m:limLoc m:val="undOvr"/>
                    <m:ctrlPr>
                      <w:rPr>
                        <w:rFonts w:ascii="DejaVu Math TeX Gyre" w:hAnsi="DejaVu Math TeX Gyre" w:cs="Times New Roman Regular"/>
                        <w:i/>
                        <w:iCs/>
                        <w:color w:val="0000FF"/>
                        <w:sz w:val="18"/>
                        <w:szCs w:val="18"/>
                      </w:rPr>
                    </m:ctrlPr>
                  </m:naryPr>
                  <m:sub>
                    <m:r>
                      <m:rPr>
                        <m:nor/>
                      </m:rPr>
                      <w:rPr>
                        <w:rFonts w:ascii="DejaVu Math TeX Gyre" w:hAnsi="DejaVu Math TeX Gyre" w:cs="Times New Roman Regular"/>
                        <w:b w:val="0"/>
                        <w:i/>
                        <w:iCs/>
                        <w:color w:val="0000FF"/>
                        <w:sz w:val="18"/>
                        <w:szCs w:val="18"/>
                      </w:rPr>
                      <m:t>i=1</m:t>
                    </m:r>
                    <m:ctrlPr>
                      <w:rPr>
                        <w:rFonts w:ascii="DejaVu Math TeX Gyre" w:hAnsi="DejaVu Math TeX Gyre" w:cs="Times New Roman Regular"/>
                        <w:i/>
                        <w:iCs/>
                        <w:color w:val="0000FF"/>
                        <w:sz w:val="18"/>
                        <w:szCs w:val="18"/>
                      </w:rPr>
                    </m:ctrlPr>
                  </m:sub>
                  <m:sup>
                    <m:r>
                      <m:rPr>
                        <m:nor/>
                      </m:rPr>
                      <w:rPr>
                        <w:rFonts w:ascii="DejaVu Math TeX Gyre" w:hAnsi="DejaVu Math TeX Gyre" w:cs="Times New Roman Regular"/>
                        <w:b w:val="0"/>
                        <w:i/>
                        <w:iCs/>
                        <w:color w:val="0000FF"/>
                        <w:sz w:val="18"/>
                        <w:szCs w:val="18"/>
                      </w:rPr>
                      <m:t>d</m:t>
                    </m:r>
                    <m:ctrlPr>
                      <w:rPr>
                        <w:rFonts w:ascii="DejaVu Math TeX Gyre" w:hAnsi="DejaVu Math TeX Gyre" w:cs="Times New Roman Regular"/>
                        <w:i/>
                        <w:iCs/>
                        <w:color w:val="0000FF"/>
                        <w:sz w:val="18"/>
                        <w:szCs w:val="18"/>
                      </w:rPr>
                    </m:ctrlPr>
                  </m:sup>
                  <m:e>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b w:val="0"/>
                            <w:i/>
                            <w:iCs/>
                            <w:color w:val="0000FF"/>
                            <w:sz w:val="18"/>
                            <w:szCs w:val="18"/>
                          </w:rPr>
                          <m:t>H</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i</m:t>
                        </m:r>
                        <m:ctrlPr>
                          <w:rPr>
                            <w:rFonts w:ascii="DejaVu Math TeX Gyre" w:hAnsi="DejaVu Math TeX Gyre" w:cs="Times New Roman Regular"/>
                            <w:i/>
                            <w:iCs/>
                            <w:color w:val="0000FF"/>
                            <w:sz w:val="18"/>
                            <w:szCs w:val="18"/>
                          </w:rPr>
                        </m:ctrlPr>
                      </m:sub>
                    </m:sSub>
                    <m:ctrlPr>
                      <w:rPr>
                        <w:rFonts w:ascii="DejaVu Math TeX Gyre" w:hAnsi="DejaVu Math TeX Gyre" w:cs="Times New Roman Regular"/>
                        <w:i/>
                        <w:iCs/>
                        <w:color w:val="0000FF"/>
                        <w:sz w:val="18"/>
                        <w:szCs w:val="18"/>
                      </w:rPr>
                    </m:ctrlPr>
                  </m:e>
                </m:nary>
                <m:r>
                  <m:rPr>
                    <m:nor/>
                  </m:rPr>
                  <w:rPr>
                    <w:rFonts w:ascii="DejaVu Math TeX Gyre" w:hAnsi="DejaVu Math TeX Gyre" w:cs="Times New Roman Regular"/>
                    <w:b w:val="0"/>
                    <w:i/>
                    <w:iCs/>
                    <w:color w:val="0000FF"/>
                    <w:sz w:val="18"/>
                    <w:szCs w:val="18"/>
                  </w:rPr>
                  <m:t>⋅</m:t>
                </m:r>
                <m:func>
                  <m:funcPr>
                    <m:ctrlPr>
                      <w:rPr>
                        <w:rFonts w:ascii="DejaVu Math TeX Gyre" w:hAnsi="DejaVu Math TeX Gyre" w:cs="Times New Roman Regular"/>
                        <w:i/>
                        <w:iCs/>
                        <w:color w:val="0000FF"/>
                        <w:sz w:val="18"/>
                        <w:szCs w:val="18"/>
                      </w:rPr>
                    </m:ctrlPr>
                  </m:funcPr>
                  <m:fName>
                    <m:r>
                      <m:rPr>
                        <m:nor/>
                      </m:rPr>
                      <w:rPr>
                        <w:rFonts w:ascii="DejaVu Math TeX Gyre" w:hAnsi="DejaVu Math TeX Gyre" w:cs="Times New Roman Regular"/>
                        <w:b w:val="0"/>
                        <w:i/>
                        <w:iCs/>
                        <w:color w:val="0000FF"/>
                        <w:sz w:val="18"/>
                        <w:szCs w:val="18"/>
                      </w:rPr>
                      <m:t>exp</m:t>
                    </m:r>
                    <m:ctrlPr>
                      <w:rPr>
                        <w:rFonts w:ascii="DejaVu Math TeX Gyre" w:hAnsi="DejaVu Math TeX Gyre" w:cs="Times New Roman Regular"/>
                        <w:i/>
                        <w:iCs/>
                        <w:color w:val="0000FF"/>
                        <w:sz w:val="18"/>
                        <w:szCs w:val="18"/>
                      </w:rPr>
                    </m:ctrlPr>
                  </m:fName>
                  <m:e>
                    <m:d>
                      <m:dPr>
                        <m:ctrlPr>
                          <w:rPr>
                            <w:rFonts w:ascii="DejaVu Math TeX Gyre" w:hAnsi="DejaVu Math TeX Gyre" w:cs="Times New Roman Regular"/>
                            <w:i/>
                            <w:iCs/>
                            <w:color w:val="0000FF"/>
                            <w:sz w:val="18"/>
                            <w:szCs w:val="18"/>
                          </w:rPr>
                        </m:ctrlPr>
                      </m:dPr>
                      <m:e>
                        <m:r>
                          <m:rPr>
                            <m:nor/>
                          </m:rPr>
                          <w:rPr>
                            <w:rFonts w:ascii="DejaVu Math TeX Gyre" w:hAnsi="DejaVu Math TeX Gyre" w:cs="Times New Roman Regular"/>
                            <w:b w:val="0"/>
                            <w:i/>
                            <w:iCs/>
                            <w:color w:val="0000FF"/>
                            <w:sz w:val="18"/>
                            <w:szCs w:val="18"/>
                          </w:rPr>
                          <m:t>-i</m:t>
                        </m:r>
                        <m:nary>
                          <m:naryPr>
                            <m:chr m:val="∑"/>
                            <m:limLoc m:val="undOvr"/>
                            <m:supHide m:val="1"/>
                            <m:ctrlPr>
                              <w:rPr>
                                <w:rFonts w:ascii="DejaVu Math TeX Gyre" w:hAnsi="DejaVu Math TeX Gyre" w:cs="Times New Roman Regular"/>
                                <w:i/>
                                <w:iCs/>
                                <w:color w:val="0000FF"/>
                                <w:sz w:val="18"/>
                                <w:szCs w:val="18"/>
                              </w:rPr>
                            </m:ctrlPr>
                          </m:naryPr>
                          <m:sub>
                            <m:r>
                              <m:rPr>
                                <m:nor/>
                              </m:rPr>
                              <w:rPr>
                                <w:rFonts w:ascii="DejaVu Math TeX Gyre" w:hAnsi="DejaVu Math TeX Gyre" w:cs="Times New Roman Regular"/>
                                <w:b w:val="0"/>
                                <w:i/>
                                <w:iCs/>
                                <w:color w:val="0000FF"/>
                                <w:sz w:val="18"/>
                                <w:szCs w:val="18"/>
                              </w:rPr>
                              <m:t>S⊆{1,…,d}</m:t>
                            </m:r>
                            <m:ctrlPr>
                              <w:rPr>
                                <w:rFonts w:ascii="DejaVu Math TeX Gyre" w:hAnsi="DejaVu Math TeX Gyre" w:cs="Times New Roman Regular"/>
                                <w:i/>
                                <w:iCs/>
                                <w:color w:val="0000FF"/>
                                <w:sz w:val="18"/>
                                <w:szCs w:val="18"/>
                              </w:rPr>
                            </m:ctrlPr>
                          </m:sub>
                          <m:sup>
                            <m:ctrlPr>
                              <w:rPr>
                                <w:rFonts w:ascii="DejaVu Math TeX Gyre" w:hAnsi="DejaVu Math TeX Gyre" w:cs="Times New Roman Regular"/>
                                <w:i/>
                                <w:iCs/>
                                <w:color w:val="0000FF"/>
                                <w:sz w:val="18"/>
                                <w:szCs w:val="18"/>
                              </w:rPr>
                            </m:ctrlPr>
                          </m:sup>
                          <m:e>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b w:val="0"/>
                                    <w:i/>
                                    <w:iCs/>
                                    <w:color w:val="0000FF"/>
                                    <w:sz w:val="18"/>
                                    <w:szCs w:val="18"/>
                                  </w:rPr>
                                  <m:t>ϕ</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S</m:t>
                                </m:r>
                                <m:ctrlPr>
                                  <w:rPr>
                                    <w:rFonts w:ascii="DejaVu Math TeX Gyre" w:hAnsi="DejaVu Math TeX Gyre" w:cs="Times New Roman Regular"/>
                                    <w:i/>
                                    <w:iCs/>
                                    <w:color w:val="0000FF"/>
                                    <w:sz w:val="18"/>
                                    <w:szCs w:val="18"/>
                                  </w:rPr>
                                </m:ctrlPr>
                              </m:sub>
                            </m:sSub>
                            <m:ctrlPr>
                              <w:rPr>
                                <w:rFonts w:ascii="DejaVu Math TeX Gyre" w:hAnsi="DejaVu Math TeX Gyre" w:cs="Times New Roman Regular"/>
                                <w:i/>
                                <w:iCs/>
                                <w:color w:val="0000FF"/>
                                <w:sz w:val="18"/>
                                <w:szCs w:val="18"/>
                              </w:rPr>
                            </m:ctrlPr>
                          </m:e>
                        </m:nary>
                        <m:r>
                          <m:rPr>
                            <m:nor/>
                          </m:rPr>
                          <w:rPr>
                            <w:rFonts w:ascii="DejaVu Math TeX Gyre" w:hAnsi="DejaVu Math TeX Gyre" w:cs="Times New Roman Regular"/>
                            <w:b w:val="0"/>
                            <w:i/>
                            <w:iCs/>
                            <w:color w:val="0000FF"/>
                            <w:sz w:val="18"/>
                            <w:szCs w:val="18"/>
                          </w:rPr>
                          <m:t>(x)</m:t>
                        </m:r>
                        <m:nary>
                          <m:naryPr>
                            <m:chr m:val="⨂"/>
                            <m:limLoc m:val="undOvr"/>
                            <m:supHide m:val="1"/>
                            <m:ctrlPr>
                              <w:rPr>
                                <w:rFonts w:ascii="DejaVu Math TeX Gyre" w:hAnsi="DejaVu Math TeX Gyre" w:cs="Times New Roman Regular"/>
                                <w:i/>
                                <w:iCs/>
                                <w:color w:val="0000FF"/>
                                <w:sz w:val="18"/>
                                <w:szCs w:val="18"/>
                              </w:rPr>
                            </m:ctrlPr>
                          </m:naryPr>
                          <m:sub>
                            <m:r>
                              <m:rPr>
                                <m:nor/>
                              </m:rPr>
                              <w:rPr>
                                <w:rFonts w:ascii="DejaVu Math TeX Gyre" w:hAnsi="DejaVu Math TeX Gyre" w:cs="Times New Roman Regular"/>
                                <w:b w:val="0"/>
                                <w:i/>
                                <w:iCs/>
                                <w:color w:val="0000FF"/>
                                <w:sz w:val="18"/>
                                <w:szCs w:val="18"/>
                              </w:rPr>
                              <m:t>j∈S</m:t>
                            </m:r>
                            <m:ctrlPr>
                              <w:rPr>
                                <w:rFonts w:ascii="DejaVu Math TeX Gyre" w:hAnsi="DejaVu Math TeX Gyre" w:cs="Times New Roman Regular"/>
                                <w:i/>
                                <w:iCs/>
                                <w:color w:val="0000FF"/>
                                <w:sz w:val="18"/>
                                <w:szCs w:val="18"/>
                              </w:rPr>
                            </m:ctrlPr>
                          </m:sub>
                          <m:sup>
                            <m:ctrlPr>
                              <w:rPr>
                                <w:rFonts w:ascii="DejaVu Math TeX Gyre" w:hAnsi="DejaVu Math TeX Gyre" w:cs="Times New Roman Regular"/>
                                <w:i/>
                                <w:iCs/>
                                <w:color w:val="0000FF"/>
                                <w:sz w:val="18"/>
                                <w:szCs w:val="18"/>
                              </w:rPr>
                            </m:ctrlPr>
                          </m:sup>
                          <m:e>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b w:val="0"/>
                                    <w:i/>
                                    <w:iCs/>
                                    <w:color w:val="0000FF"/>
                                    <w:sz w:val="18"/>
                                    <w:szCs w:val="18"/>
                                  </w:rPr>
                                  <m:t>Z</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j</m:t>
                                </m:r>
                                <m:ctrlPr>
                                  <w:rPr>
                                    <w:rFonts w:ascii="DejaVu Math TeX Gyre" w:hAnsi="DejaVu Math TeX Gyre" w:cs="Times New Roman Regular"/>
                                    <w:i/>
                                    <w:iCs/>
                                    <w:color w:val="0000FF"/>
                                    <w:sz w:val="18"/>
                                    <w:szCs w:val="18"/>
                                  </w:rPr>
                                </m:ctrlPr>
                              </m:sub>
                            </m:sSub>
                            <m:ctrlPr>
                              <w:rPr>
                                <w:rFonts w:ascii="DejaVu Math TeX Gyre" w:hAnsi="DejaVu Math TeX Gyre" w:cs="Times New Roman Regular"/>
                                <w:i/>
                                <w:iCs/>
                                <w:color w:val="0000FF"/>
                                <w:sz w:val="18"/>
                                <w:szCs w:val="18"/>
                              </w:rPr>
                            </m:ctrlPr>
                          </m:e>
                        </m:nary>
                        <m:ctrlPr>
                          <w:rPr>
                            <w:rFonts w:ascii="DejaVu Math TeX Gyre" w:hAnsi="DejaVu Math TeX Gyre" w:cs="Times New Roman Regular"/>
                            <w:i/>
                            <w:iCs/>
                            <w:color w:val="0000FF"/>
                            <w:sz w:val="18"/>
                            <w:szCs w:val="18"/>
                          </w:rPr>
                        </m:ctrlPr>
                      </m:e>
                    </m:d>
                    <m:ctrlPr>
                      <w:rPr>
                        <w:rFonts w:ascii="DejaVu Math TeX Gyre" w:hAnsi="DejaVu Math TeX Gyre" w:cs="Times New Roman Regular"/>
                        <w:i/>
                        <w:iCs/>
                        <w:color w:val="0000FF"/>
                        <w:sz w:val="18"/>
                        <w:szCs w:val="18"/>
                      </w:rPr>
                    </m:ctrlPr>
                  </m:e>
                </m:func>
                <m:ctrlPr>
                  <w:rPr>
                    <w:rFonts w:ascii="DejaVu Math TeX Gyre" w:hAnsi="DejaVu Math TeX Gyre" w:cs="Times New Roman Regular"/>
                    <w:i/>
                    <w:iCs/>
                    <w:color w:val="0000FF"/>
                    <w:sz w:val="18"/>
                    <w:szCs w:val="18"/>
                  </w:rPr>
                </m:ctrlPr>
              </m:e>
            </m:d>
            <m:ctrlPr>
              <w:rPr>
                <w:rFonts w:ascii="DejaVu Math TeX Gyre" w:hAnsi="DejaVu Math TeX Gyre" w:cs="Times New Roman Regular"/>
                <w:i/>
                <w:iCs/>
                <w:color w:val="0000FF"/>
                <w:sz w:val="18"/>
                <w:szCs w:val="18"/>
              </w:rPr>
            </m:ctrlPr>
          </m:e>
        </m:nary>
      </m:oMath>
      <w:r>
        <w:rPr>
          <w:rFonts w:ascii="Times New Roman Regular" w:hAnsi="Times New Roman Regular" w:cs="Times New Roman Regular"/>
          <w:color w:val="0000FF"/>
          <w:sz w:val="18"/>
          <w:szCs w:val="18"/>
        </w:rPr>
        <w:t xml:space="preserve">              (</w:t>
      </w:r>
      <w:r>
        <w:rPr>
          <w:rFonts w:hint="default" w:ascii="Times New Roman Regular" w:hAnsi="Times New Roman Regular" w:cs="Times New Roman Regular"/>
          <w:color w:val="0000FF"/>
          <w:sz w:val="18"/>
          <w:szCs w:val="18"/>
          <w:lang w:val="en-US"/>
        </w:rPr>
        <w:t>7</w:t>
      </w:r>
      <w:r>
        <w:rPr>
          <w:rFonts w:ascii="Times New Roman Regular" w:hAnsi="Times New Roman Regular" w:cs="Times New Roman Regular"/>
          <w:color w:val="0000FF"/>
          <w:sz w:val="18"/>
          <w:szCs w:val="18"/>
        </w:rPr>
        <w:t>)</w:t>
      </w:r>
    </w:p>
    <w:p w14:paraId="6538EF5C">
      <w:pPr>
        <w:keepNext w:val="0"/>
        <w:keepLines w:val="0"/>
        <w:widowControl/>
        <w:suppressLineNumbers w:val="0"/>
        <w:spacing w:line="300" w:lineRule="auto"/>
        <w:jc w:val="left"/>
        <w:rPr>
          <w:rFonts w:ascii="Times New Roman Regular" w:hAnsi="Times New Roman Regular" w:cs="Times New Roman Regular"/>
          <w:color w:val="0000FF"/>
          <w:szCs w:val="21"/>
        </w:rPr>
      </w:pPr>
      <w:r>
        <w:rPr>
          <w:rFonts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the term</w:t>
      </w:r>
      <w:r>
        <w:rPr>
          <w:rFonts w:hint="eastAsia"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 </w:t>
      </w:r>
      <m:oMath>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b w:val="0"/>
                <w:i/>
                <w:iCs/>
                <w:color w:val="0000FF"/>
                <w:sz w:val="18"/>
                <w:szCs w:val="18"/>
              </w:rPr>
              <m:t>U</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ZMap</m:t>
            </m:r>
            <m:ctrlPr>
              <w:rPr>
                <w:rFonts w:ascii="DejaVu Math TeX Gyre" w:hAnsi="DejaVu Math TeX Gyre" w:cs="Times New Roman Regular"/>
                <w:i/>
                <w:iCs/>
                <w:color w:val="0000FF"/>
                <w:sz w:val="18"/>
                <w:szCs w:val="18"/>
              </w:rPr>
            </m:ctrlPr>
          </m:sub>
        </m:sSub>
        <m:r>
          <m:rPr>
            <m:nor/>
          </m:rPr>
          <w:rPr>
            <w:rFonts w:ascii="DejaVu Math TeX Gyre" w:hAnsi="DejaVu Math TeX Gyre" w:cs="Times New Roman Regular"/>
            <w:b w:val="0"/>
            <w:i/>
            <w:iCs/>
            <w:color w:val="0000FF"/>
            <w:sz w:val="18"/>
            <w:szCs w:val="18"/>
          </w:rPr>
          <m:t>(x)</m:t>
        </m:r>
      </m:oMath>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represents the unitary operator of the encoding circuit that maps classical data </w:t>
      </w:r>
      <w:r>
        <w:rPr>
          <w:rFonts w:hint="default" w:ascii="Times New Roman Italic" w:hAnsi="Times New Roman Italic" w:eastAsia="Arial" w:cs="Times New Roman Italic"/>
          <w:i/>
          <w:iCs/>
          <w:caps w:val="0"/>
          <w:color w:val="0000FF"/>
          <w:spacing w:val="0"/>
          <w:kern w:val="0"/>
          <w:sz w:val="21"/>
          <w:szCs w:val="21"/>
          <w:u w:val="none"/>
          <w:shd w:val="clear" w:fill="FFFFFF"/>
          <w:lang w:val="en-US" w:eastAsia="zh-CN" w:bidi="ar"/>
        </w:rPr>
        <w:t>x</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into a quantum state, which is a dimensionless unitary matrix. The input vector </w:t>
      </w:r>
      <w:r>
        <w:rPr>
          <w:rFonts w:hint="default" w:ascii="Times New Roman Italic" w:hAnsi="Times New Roman Italic" w:eastAsia="Arial" w:cs="Times New Roman Italic"/>
          <w:i/>
          <w:iCs/>
          <w:caps w:val="0"/>
          <w:color w:val="0000FF"/>
          <w:spacing w:val="0"/>
          <w:kern w:val="0"/>
          <w:sz w:val="21"/>
          <w:szCs w:val="21"/>
          <w:u w:val="none"/>
          <w:shd w:val="clear" w:fill="FFFFFF"/>
          <w:lang w:val="en-US" w:eastAsia="zh-CN" w:bidi="ar"/>
        </w:rPr>
        <w:t>x</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denotes the classical data with units corresponding to normalized feature values specific to the problem at hand. The parameter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R</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indicates the number of repetition layers in the circuit architecture, serving as a dimensionless positive integer, while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d</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represents the selected number of principal factors, also expressed as a dimensionless positive integer. The indices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k</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and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i</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iterate over the repetition layers and qubits respectively, with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k</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ranging from </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1</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to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R</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and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i</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ranging from </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1</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to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d</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 The operator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 xml:space="preserve">Hi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corresponds to the Hadamard gate applied to the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i</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-th qubit. The symbol </w:t>
      </w:r>
      <w:r>
        <w:rPr>
          <w:rFonts w:ascii="Times New Roman Regular" w:hAnsi="Times New Roman Regular" w:eastAsia="KaTeX_Size1"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denotes the tensor product operation across multiple qubits, while </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exp(</w:t>
      </w:r>
      <m:oMath>
        <m:r>
          <m:rPr>
            <m:nor/>
          </m:rPr>
          <w:rPr>
            <w:rFonts w:ascii="DejaVu Math TeX Gyre" w:hAnsi="DejaVu Math TeX Gyre" w:cs="Times New Roman Regular"/>
            <w:b w:val="0"/>
            <w:i/>
            <w:iCs/>
            <w:color w:val="0000FF"/>
            <w:sz w:val="18"/>
            <w:szCs w:val="18"/>
          </w:rPr>
          <m:t>⋅</m:t>
        </m:r>
      </m:oMath>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represents the matrix exponential function defining the parameterized rotation gate. The term </w:t>
      </w:r>
      <w:r>
        <w:rPr>
          <w:rFonts w:hint="default" w:ascii="Times New Roman Italic" w:hAnsi="Times New Roman Italic" w:eastAsia="KaTeX_Main" w:cs="Times New Roman Italic"/>
          <w:b w:val="0"/>
          <w:bCs w:val="0"/>
          <w:i/>
          <w:iCs/>
          <w:caps w:val="0"/>
          <w:color w:val="0000FF"/>
          <w:spacing w:val="0"/>
          <w:kern w:val="0"/>
          <w:sz w:val="21"/>
          <w:szCs w:val="21"/>
          <w:u w:val="none"/>
          <w:vertAlign w:val="baseline"/>
          <w:lang w:val="en-US" w:eastAsia="zh-CN" w:bidi="ar"/>
        </w:rPr>
        <w:t>−</w:t>
      </w:r>
      <w:r>
        <w:rPr>
          <w:rFonts w:hint="default" w:ascii="Times New Roman Italic" w:hAnsi="Times New Roman Italic" w:eastAsia="KaTeX_Math" w:cs="Times New Roman Italic"/>
          <w:b w:val="0"/>
          <w:bCs w:val="0"/>
          <w:i/>
          <w:iCs/>
          <w:caps w:val="0"/>
          <w:color w:val="0000FF"/>
          <w:spacing w:val="0"/>
          <w:kern w:val="0"/>
          <w:sz w:val="21"/>
          <w:szCs w:val="21"/>
          <w:u w:val="none"/>
          <w:vertAlign w:val="baseline"/>
          <w:lang w:val="en-US" w:eastAsia="zh-CN" w:bidi="ar"/>
        </w:rPr>
        <w:t>i</w:t>
      </w:r>
      <w:r>
        <w:rPr>
          <w:rFonts w:hint="default" w:ascii="Times New Roman Italic" w:hAnsi="Times New Roman Italic" w:eastAsia="Arial" w:cs="Times New Roman Italic"/>
          <w:i/>
          <w:iCs/>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incorporates the imaginary unit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i</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 with a negative sign. The set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S</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refers to the subset of qubit indices involved in entanglement operations, satisfying the condition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S</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⊆{1,...,</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d</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 The rotation angle </w:t>
      </w:r>
      <w:r>
        <w:rPr>
          <w:rFonts w:hint="default" w:ascii="Times New Roman Italic" w:hAnsi="Times New Roman Italic" w:eastAsia="KaTeX_Math" w:cs="Times New Roman Italic"/>
          <w:b w:val="0"/>
          <w:bCs w:val="0"/>
          <w:i/>
          <w:iCs/>
          <w:caps w:val="0"/>
          <w:color w:val="0000FF"/>
          <w:spacing w:val="0"/>
          <w:kern w:val="0"/>
          <w:sz w:val="21"/>
          <w:szCs w:val="21"/>
          <w:u w:val="none"/>
          <w:vertAlign w:val="baseline"/>
          <w:lang w:val="en-US" w:eastAsia="zh-CN" w:bidi="ar"/>
        </w:rPr>
        <w:t>ϕS</w:t>
      </w:r>
      <w:r>
        <w:rPr>
          <w:rFonts w:hint="default" w:ascii="Times New Roman Italic" w:hAnsi="Times New Roman Italic" w:eastAsia="KaTeX_Main" w:cs="Times New Roman Italic"/>
          <w:b w:val="0"/>
          <w:bCs w:val="0"/>
          <w:i/>
          <w:iCs/>
          <w:caps w:val="0"/>
          <w:color w:val="0000FF"/>
          <w:spacing w:val="0"/>
          <w:kern w:val="0"/>
          <w:sz w:val="21"/>
          <w:szCs w:val="21"/>
          <w:u w:val="none"/>
          <w:vertAlign w:val="baseline"/>
          <w:lang w:val="en-US" w:eastAsia="zh-CN" w:bidi="ar"/>
        </w:rPr>
        <w:t>(x)</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depends on the input data and is computed via linear embedding, with units expressed in radians or as a dimensionless quantity. The operator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 xml:space="preserve">Zj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represents the Pauli-Z operator acting on the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j</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-th qubit.</w:t>
      </w:r>
    </w:p>
    <w:p w14:paraId="48B5A6D0">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For each sample x, construct the corresponding quantum state |ψ(x)⟩, and analytically calculate the Pauli-Z expectation value for each qubit (</w:t>
      </w:r>
      <w:r>
        <w:rPr>
          <w:rFonts w:ascii="Times New Roman Regular" w:hAnsi="Times New Roman Regular" w:cs="Times New Roman Regular"/>
          <w:color w:val="0000FF"/>
        </w:rPr>
        <w:t>Liao et al., 2024):</w:t>
      </w:r>
    </w:p>
    <w:p w14:paraId="7BCD629C">
      <w:pPr>
        <w:spacing w:line="300" w:lineRule="auto"/>
        <w:jc w:val="right"/>
        <w:rPr>
          <w:rFonts w:ascii="Times New Roman Regular" w:hAnsi="Times New Roman Regular" w:cs="Times New Roman Regular"/>
          <w:color w:val="0000FF"/>
          <w:sz w:val="18"/>
          <w:szCs w:val="18"/>
        </w:rPr>
      </w:pPr>
      <m:oMath>
        <m:r>
          <m:rPr>
            <m:nor/>
          </m:rPr>
          <w:rPr>
            <w:rFonts w:ascii="DejaVu Math TeX Gyre" w:hAnsi="DejaVu Math TeX Gyre" w:cs="Times New Roman Regular"/>
            <w:b w:val="0"/>
            <w:i/>
            <w:iCs/>
            <w:color w:val="0000FF"/>
            <w:sz w:val="18"/>
            <w:szCs w:val="18"/>
          </w:rPr>
          <m:t>⟨</m:t>
        </m:r>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i/>
                <w:iCs/>
                <w:color w:val="0000FF"/>
                <w:sz w:val="18"/>
                <w:szCs w:val="18"/>
              </w:rPr>
              <m:t>Z</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i/>
                <w:iCs/>
                <w:color w:val="0000FF"/>
                <w:sz w:val="18"/>
                <w:szCs w:val="18"/>
              </w:rPr>
              <m:t>i</m:t>
            </m:r>
            <m:ctrlPr>
              <w:rPr>
                <w:rFonts w:ascii="DejaVu Math TeX Gyre" w:hAnsi="DejaVu Math TeX Gyre" w:cs="Times New Roman Regular"/>
                <w:i/>
                <w:iCs/>
                <w:color w:val="0000FF"/>
                <w:sz w:val="18"/>
                <w:szCs w:val="18"/>
              </w:rPr>
            </m:ctrlPr>
          </m:sub>
        </m:sSub>
        <m:r>
          <m:rPr>
            <m:nor/>
          </m:rPr>
          <w:rPr>
            <w:rFonts w:ascii="DejaVu Math TeX Gyre" w:hAnsi="DejaVu Math TeX Gyre" w:cs="Times New Roman Regular"/>
            <w:b w:val="0"/>
            <w:i/>
            <w:iCs/>
            <w:color w:val="0000FF"/>
            <w:sz w:val="18"/>
            <w:szCs w:val="18"/>
          </w:rPr>
          <m:t>⟩=⟨</m:t>
        </m:r>
        <m:r>
          <m:rPr>
            <m:nor/>
          </m:rPr>
          <w:rPr>
            <w:rFonts w:ascii="DejaVu Math TeX Gyre" w:hAnsi="DejaVu Math TeX Gyre" w:cs="Times New Roman Regular"/>
            <w:i/>
            <w:iCs/>
            <w:color w:val="0000FF"/>
            <w:sz w:val="18"/>
            <w:szCs w:val="18"/>
          </w:rPr>
          <m:t>ψ</m:t>
        </m:r>
        <m:r>
          <m:rPr>
            <m:nor/>
          </m:rPr>
          <w:rPr>
            <w:rFonts w:ascii="DejaVu Math TeX Gyre" w:hAnsi="DejaVu Math TeX Gyre" w:cs="Times New Roman Regular"/>
            <w:b w:val="0"/>
            <w:i/>
            <w:iCs/>
            <w:color w:val="0000FF"/>
            <w:sz w:val="18"/>
            <w:szCs w:val="18"/>
          </w:rPr>
          <m:t>(</m:t>
        </m:r>
        <m:r>
          <m:rPr>
            <m:nor/>
            <m:sty m:val="bi"/>
          </m:rPr>
          <w:rPr>
            <w:rFonts w:ascii="DejaVu Math TeX Gyre" w:hAnsi="DejaVu Math TeX Gyre" w:cs="Times New Roman Regular"/>
            <w:b/>
            <w:i/>
            <w:iCs/>
            <w:color w:val="0000FF"/>
            <w:sz w:val="18"/>
            <w:szCs w:val="18"/>
          </w:rPr>
          <m:t>x</m:t>
        </m:r>
        <m:r>
          <m:rPr>
            <m:nor/>
          </m:rPr>
          <w:rPr>
            <w:rFonts w:ascii="DejaVu Math TeX Gyre" w:hAnsi="DejaVu Math TeX Gyre" w:cs="Times New Roman Regular"/>
            <w:b w:val="0"/>
            <w:i/>
            <w:iCs/>
            <w:color w:val="0000FF"/>
            <w:sz w:val="18"/>
            <w:szCs w:val="18"/>
          </w:rPr>
          <m:t>)|</m:t>
        </m:r>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i/>
                <w:iCs/>
                <w:color w:val="0000FF"/>
                <w:sz w:val="18"/>
                <w:szCs w:val="18"/>
              </w:rPr>
              <m:t>Z</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i/>
                <w:iCs/>
                <w:color w:val="0000FF"/>
                <w:sz w:val="18"/>
                <w:szCs w:val="18"/>
              </w:rPr>
              <m:t>i</m:t>
            </m:r>
            <m:ctrlPr>
              <w:rPr>
                <w:rFonts w:ascii="DejaVu Math TeX Gyre" w:hAnsi="DejaVu Math TeX Gyre" w:cs="Times New Roman Regular"/>
                <w:i/>
                <w:iCs/>
                <w:color w:val="0000FF"/>
                <w:sz w:val="18"/>
                <w:szCs w:val="18"/>
              </w:rPr>
            </m:ctrlPr>
          </m:sub>
        </m:sSub>
        <m:r>
          <m:rPr>
            <m:nor/>
          </m:rPr>
          <w:rPr>
            <w:rFonts w:ascii="DejaVu Math TeX Gyre" w:hAnsi="DejaVu Math TeX Gyre" w:cs="Times New Roman Regular"/>
            <w:b w:val="0"/>
            <w:i/>
            <w:iCs/>
            <w:color w:val="0000FF"/>
            <w:sz w:val="18"/>
            <w:szCs w:val="18"/>
          </w:rPr>
          <m:t>|</m:t>
        </m:r>
        <m:r>
          <m:rPr>
            <m:nor/>
          </m:rPr>
          <w:rPr>
            <w:rFonts w:ascii="DejaVu Math TeX Gyre" w:hAnsi="DejaVu Math TeX Gyre" w:cs="Times New Roman Regular"/>
            <w:i/>
            <w:iCs/>
            <w:color w:val="0000FF"/>
            <w:sz w:val="18"/>
            <w:szCs w:val="18"/>
          </w:rPr>
          <m:t>ψ</m:t>
        </m:r>
        <m:r>
          <m:rPr>
            <m:nor/>
          </m:rPr>
          <w:rPr>
            <w:rFonts w:ascii="DejaVu Math TeX Gyre" w:hAnsi="DejaVu Math TeX Gyre" w:cs="Times New Roman Regular"/>
            <w:b w:val="0"/>
            <w:i/>
            <w:iCs/>
            <w:color w:val="0000FF"/>
            <w:sz w:val="18"/>
            <w:szCs w:val="18"/>
          </w:rPr>
          <m:t>(</m:t>
        </m:r>
        <m:r>
          <m:rPr>
            <m:nor/>
            <m:sty m:val="bi"/>
          </m:rPr>
          <w:rPr>
            <w:rFonts w:ascii="DejaVu Math TeX Gyre" w:hAnsi="DejaVu Math TeX Gyre" w:cs="Times New Roman Regular"/>
            <w:b/>
            <w:i/>
            <w:iCs/>
            <w:color w:val="0000FF"/>
            <w:sz w:val="18"/>
            <w:szCs w:val="18"/>
          </w:rPr>
          <m:t>x</m:t>
        </m:r>
        <m:r>
          <m:rPr>
            <m:nor/>
          </m:rPr>
          <w:rPr>
            <w:rFonts w:ascii="DejaVu Math TeX Gyre" w:hAnsi="DejaVu Math TeX Gyre" w:cs="Times New Roman Regular"/>
            <w:b w:val="0"/>
            <w:i/>
            <w:iCs/>
            <w:color w:val="0000FF"/>
            <w:sz w:val="18"/>
            <w:szCs w:val="18"/>
          </w:rPr>
          <m:t>)⟩=</m:t>
        </m:r>
        <m:r>
          <m:rPr>
            <m:nor/>
          </m:rPr>
          <w:rPr>
            <w:rFonts w:ascii="DejaVu Math TeX Gyre" w:hAnsi="DejaVu Math TeX Gyre" w:cs="Times New Roman Regular"/>
            <w:i/>
            <w:iCs/>
            <w:color w:val="0000FF"/>
            <w:sz w:val="18"/>
            <w:szCs w:val="18"/>
          </w:rPr>
          <m:t>P</m:t>
        </m:r>
        <m:r>
          <m:rPr>
            <m:nor/>
          </m:rPr>
          <w:rPr>
            <w:rFonts w:ascii="DejaVu Math TeX Gyre" w:hAnsi="DejaVu Math TeX Gyre" w:cs="Times New Roman Regular"/>
            <w:b w:val="0"/>
            <w:i/>
            <w:iCs/>
            <w:color w:val="0000FF"/>
            <w:sz w:val="18"/>
            <w:szCs w:val="18"/>
          </w:rPr>
          <m:t>(</m:t>
        </m:r>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i/>
                <w:iCs/>
                <w:color w:val="0000FF"/>
                <w:sz w:val="18"/>
                <w:szCs w:val="18"/>
              </w:rPr>
              <m:t>q</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i/>
                <w:iCs/>
                <w:color w:val="0000FF"/>
                <w:sz w:val="18"/>
                <w:szCs w:val="18"/>
              </w:rPr>
              <m:t>i</m:t>
            </m:r>
            <m:ctrlPr>
              <w:rPr>
                <w:rFonts w:ascii="DejaVu Math TeX Gyre" w:hAnsi="DejaVu Math TeX Gyre" w:cs="Times New Roman Regular"/>
                <w:i/>
                <w:iCs/>
                <w:color w:val="0000FF"/>
                <w:sz w:val="18"/>
                <w:szCs w:val="18"/>
              </w:rPr>
            </m:ctrlPr>
          </m:sub>
        </m:sSub>
        <m:r>
          <m:rPr>
            <m:nor/>
          </m:rPr>
          <w:rPr>
            <w:rFonts w:ascii="DejaVu Math TeX Gyre" w:hAnsi="DejaVu Math TeX Gyre" w:cs="Times New Roman Regular"/>
            <w:b w:val="0"/>
            <w:i/>
            <w:iCs/>
            <w:color w:val="0000FF"/>
            <w:sz w:val="18"/>
            <w:szCs w:val="18"/>
          </w:rPr>
          <m:t>=0)-</m:t>
        </m:r>
        <m:r>
          <m:rPr>
            <m:nor/>
          </m:rPr>
          <w:rPr>
            <w:rFonts w:ascii="DejaVu Math TeX Gyre" w:hAnsi="DejaVu Math TeX Gyre" w:cs="Times New Roman Regular"/>
            <w:i/>
            <w:iCs/>
            <w:color w:val="0000FF"/>
            <w:sz w:val="18"/>
            <w:szCs w:val="18"/>
          </w:rPr>
          <m:t>P</m:t>
        </m:r>
        <m:r>
          <m:rPr>
            <m:nor/>
          </m:rPr>
          <w:rPr>
            <w:rFonts w:ascii="DejaVu Math TeX Gyre" w:hAnsi="DejaVu Math TeX Gyre" w:cs="Times New Roman Regular"/>
            <w:b w:val="0"/>
            <w:i/>
            <w:iCs/>
            <w:color w:val="0000FF"/>
            <w:sz w:val="18"/>
            <w:szCs w:val="18"/>
          </w:rPr>
          <m:t>(</m:t>
        </m:r>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i/>
                <w:iCs/>
                <w:color w:val="0000FF"/>
                <w:sz w:val="18"/>
                <w:szCs w:val="18"/>
              </w:rPr>
              <m:t>q</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i/>
                <w:iCs/>
                <w:color w:val="0000FF"/>
                <w:sz w:val="18"/>
                <w:szCs w:val="18"/>
              </w:rPr>
              <m:t>i</m:t>
            </m:r>
            <m:ctrlPr>
              <w:rPr>
                <w:rFonts w:ascii="DejaVu Math TeX Gyre" w:hAnsi="DejaVu Math TeX Gyre" w:cs="Times New Roman Regular"/>
                <w:i/>
                <w:iCs/>
                <w:color w:val="0000FF"/>
                <w:sz w:val="18"/>
                <w:szCs w:val="18"/>
              </w:rPr>
            </m:ctrlPr>
          </m:sub>
        </m:sSub>
        <m:r>
          <m:rPr>
            <m:nor/>
          </m:rPr>
          <w:rPr>
            <w:rFonts w:ascii="DejaVu Math TeX Gyre" w:hAnsi="DejaVu Math TeX Gyre" w:cs="Times New Roman Regular"/>
            <w:b w:val="0"/>
            <w:i/>
            <w:iCs/>
            <w:color w:val="0000FF"/>
            <w:sz w:val="18"/>
            <w:szCs w:val="18"/>
          </w:rPr>
          <m:t>=1)</m:t>
        </m:r>
      </m:oMath>
      <w:r>
        <w:rPr>
          <w:rFonts w:ascii="Times New Roman Regular" w:hAnsi="Times New Roman Regular" w:cs="Times New Roman Regular"/>
          <w:i/>
          <w:iCs/>
          <w:color w:val="0000FF"/>
          <w:sz w:val="18"/>
          <w:szCs w:val="18"/>
        </w:rPr>
        <w:t xml:space="preserve">  </w:t>
      </w:r>
      <w:r>
        <w:rPr>
          <w:rFonts w:ascii="Times New Roman Regular" w:hAnsi="Times New Roman Regular" w:cs="Times New Roman Regular"/>
          <w:color w:val="0000FF"/>
          <w:sz w:val="18"/>
          <w:szCs w:val="18"/>
        </w:rPr>
        <w:t xml:space="preserve">                       (</w:t>
      </w:r>
      <w:r>
        <w:rPr>
          <w:rFonts w:hint="default" w:ascii="Times New Roman Regular" w:hAnsi="Times New Roman Regular" w:cs="Times New Roman Regular"/>
          <w:color w:val="0000FF"/>
          <w:sz w:val="18"/>
          <w:szCs w:val="18"/>
          <w:lang w:val="en-US"/>
        </w:rPr>
        <w:t>8</w:t>
      </w:r>
      <w:r>
        <w:rPr>
          <w:rFonts w:ascii="Times New Roman Regular" w:hAnsi="Times New Roman Regular" w:cs="Times New Roman Regular"/>
          <w:color w:val="0000FF"/>
          <w:sz w:val="18"/>
          <w:szCs w:val="18"/>
        </w:rPr>
        <w:t>)</w:t>
      </w:r>
    </w:p>
    <w:p w14:paraId="6B385D02">
      <w:pPr>
        <w:widowControl/>
        <w:spacing w:line="300" w:lineRule="auto"/>
        <w:ind w:firstLine="0"/>
        <w:jc w:val="both"/>
        <w:rPr>
          <w:rFonts w:hint="eastAsia"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color w:val="0000FF"/>
          <w:lang w:val="en-US"/>
        </w:rPr>
        <w:t>h</w:t>
      </w:r>
      <w:r>
        <w:rPr>
          <w:rFonts w:ascii="Times New Roman Regular" w:hAnsi="Times New Roman Regular" w:cs="Times New Roman Regular"/>
          <w:color w:val="0000FF"/>
        </w:rPr>
        <w:t xml:space="preserve">ere, </w:t>
      </w:r>
      <w:r>
        <w:rPr>
          <w:rFonts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the quantity </w:t>
      </w:r>
      <w:r>
        <w:rPr>
          <w:rFonts w:hint="default" w:ascii="Times New Roman Regular" w:hAnsi="Times New Roman Regular" w:eastAsia="Times New Roman" w:cs="Times New Roman Regular"/>
          <w:b w:val="0"/>
          <w:bCs w:val="0"/>
          <w:i w:val="0"/>
          <w:iCs w:val="0"/>
          <w:caps w:val="0"/>
          <w:color w:val="0000FF"/>
          <w:spacing w:val="0"/>
          <w:kern w:val="0"/>
          <w:sz w:val="21"/>
          <w:szCs w:val="21"/>
          <w:u w:val="none"/>
          <w:vertAlign w:val="baseline"/>
          <w:lang w:val="en-US" w:eastAsia="zh-CN" w:bidi="ar"/>
        </w:rPr>
        <w:t>⟨</w:t>
      </w:r>
      <w:r>
        <w:rPr>
          <w:rFonts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Z</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i</w:t>
      </w:r>
      <w:r>
        <w:rPr>
          <w:rFonts w:hint="default" w:ascii="Times New Roman Regular" w:hAnsi="Times New Roman Regular" w:eastAsia="Times New Roma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denotes the expectation value of the Pauli-Z operator for the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i</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-th qubit, taking values in the range </w:t>
      </w:r>
      <w:r>
        <w:rPr>
          <w:rFonts w:hint="default" w:ascii="Times New Roman Regular" w:hAnsi="Times New Roman Regular" w:eastAsia="Times New Roman" w:cs="Times New Roman Regular"/>
          <w:b w:val="0"/>
          <w:bCs w:val="0"/>
          <w:i w:val="0"/>
          <w:iCs w:val="0"/>
          <w:caps w:val="0"/>
          <w:color w:val="0000FF"/>
          <w:spacing w:val="0"/>
          <w:kern w:val="0"/>
          <w:sz w:val="21"/>
          <w:szCs w:val="21"/>
          <w:u w:val="none"/>
          <w:vertAlign w:val="baseline"/>
          <w:lang w:val="en-US" w:eastAsia="zh-CN" w:bidi="ar"/>
        </w:rPr>
        <w:t>[−1,+1]</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as a dimensionless scalar. The state vector </w:t>
      </w:r>
      <w:r>
        <w:rPr>
          <w:rFonts w:hint="default" w:ascii="Times New Roman Regular" w:hAnsi="Times New Roman Regular" w:eastAsia="Times New Roman" w:cs="Times New Roman Regular"/>
          <w:b w:val="0"/>
          <w:bCs/>
          <w:i w:val="0"/>
          <w:iCs/>
          <w:caps w:val="0"/>
          <w:color w:val="0000FF"/>
          <w:spacing w:val="0"/>
          <w:kern w:val="0"/>
          <w:sz w:val="21"/>
          <w:szCs w:val="21"/>
          <w:u w:val="none"/>
          <w:vertAlign w:val="baseline"/>
          <w:lang w:val="en-US" w:eastAsia="zh-CN" w:bidi="ar"/>
        </w:rPr>
        <w:t>∣</w:t>
      </w:r>
      <w:r>
        <w:rPr>
          <w:rFonts w:hint="default" w:ascii="Times New Roman Regular" w:hAnsi="Times New Roman Regular" w:eastAsia="KaTeX_Math" w:cs="Times New Roman Regular"/>
          <w:b w:val="0"/>
          <w:bCs/>
          <w:i w:val="0"/>
          <w:iCs/>
          <w:caps w:val="0"/>
          <w:color w:val="0000FF"/>
          <w:spacing w:val="0"/>
          <w:kern w:val="0"/>
          <w:sz w:val="21"/>
          <w:szCs w:val="21"/>
          <w:u w:val="none"/>
          <w:vertAlign w:val="baseline"/>
          <w:lang w:val="en-US" w:eastAsia="zh-CN" w:bidi="ar"/>
        </w:rPr>
        <w:t>ψ</w:t>
      </w:r>
      <w:r>
        <w:rPr>
          <w:rFonts w:hint="default" w:ascii="Times New Roman Regular" w:hAnsi="Times New Roman Regular" w:eastAsia="Times New Roman" w:cs="Times New Roman Regular"/>
          <w:b w:val="0"/>
          <w:bCs/>
          <w:i w:val="0"/>
          <w:iCs/>
          <w:caps w:val="0"/>
          <w:color w:val="0000FF"/>
          <w:spacing w:val="0"/>
          <w:kern w:val="0"/>
          <w:sz w:val="21"/>
          <w:szCs w:val="21"/>
          <w:u w:val="none"/>
          <w:vertAlign w:val="baseline"/>
          <w:lang w:val="en-US" w:eastAsia="zh-CN" w:bidi="ar"/>
        </w:rPr>
        <w:t>(</w:t>
      </w:r>
      <w:r>
        <w:rPr>
          <w:rFonts w:ascii="Times New Roman Regular" w:hAnsi="Times New Roman Regular" w:eastAsia="KaTeX_Main" w:cs="Times New Roman Regular"/>
          <w:b w:val="0"/>
          <w:bCs/>
          <w:i w:val="0"/>
          <w:iCs/>
          <w:caps w:val="0"/>
          <w:color w:val="0000FF"/>
          <w:spacing w:val="0"/>
          <w:kern w:val="0"/>
          <w:sz w:val="21"/>
          <w:szCs w:val="21"/>
          <w:u w:val="none"/>
          <w:vertAlign w:val="baseline"/>
          <w:lang w:val="en-US" w:eastAsia="zh-CN" w:bidi="ar"/>
        </w:rPr>
        <w:t>x</w:t>
      </w:r>
      <w:r>
        <w:rPr>
          <w:rFonts w:hint="default" w:ascii="Times New Roman Regular" w:hAnsi="Times New Roman Regular" w:eastAsia="KaTeX_Main" w:cs="Times New Roman Regular"/>
          <w:b w:val="0"/>
          <w:bCs/>
          <w:i w:val="0"/>
          <w:iCs/>
          <w:caps w:val="0"/>
          <w:color w:val="0000FF"/>
          <w:spacing w:val="0"/>
          <w:kern w:val="0"/>
          <w:sz w:val="21"/>
          <w:szCs w:val="21"/>
          <w:u w:val="none"/>
          <w:vertAlign w:val="baseline"/>
          <w:lang w:val="en-US" w:eastAsia="zh-CN" w:bidi="ar"/>
        </w:rPr>
        <w:t>)⟩</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represents the quantum state encoding the classical data </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x</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after applying the unitary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U</w:t>
      </w:r>
      <w:r>
        <w:rPr>
          <w:rFonts w:hint="default" w:ascii="Times New Roman Regular" w:hAnsi="Times New Roman Regular" w:eastAsia="KaTeX_Math" w:cs="Times New Roman Regular"/>
          <w:b w:val="0"/>
          <w:bCs w:val="0"/>
          <w:i/>
          <w:iCs/>
          <w:caps w:val="0"/>
          <w:color w:val="0000FF"/>
          <w:spacing w:val="0"/>
          <w:kern w:val="0"/>
          <w:sz w:val="21"/>
          <w:szCs w:val="21"/>
          <w:u w:val="none"/>
          <w:vertAlign w:val="subscript"/>
          <w:lang w:val="en-US" w:eastAsia="zh-CN" w:bidi="ar"/>
        </w:rPr>
        <w:t>ZMap</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 The bra vector </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ψ</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KaTeX_Main" w:cs="Times New Roman Regular"/>
          <w:b/>
          <w:bCs/>
          <w:i w:val="0"/>
          <w:iCs w:val="0"/>
          <w:caps w:val="0"/>
          <w:color w:val="0000FF"/>
          <w:spacing w:val="0"/>
          <w:kern w:val="0"/>
          <w:sz w:val="21"/>
          <w:szCs w:val="21"/>
          <w:u w:val="none"/>
          <w:vertAlign w:val="baseline"/>
          <w:lang w:val="en-US" w:eastAsia="zh-CN" w:bidi="ar"/>
        </w:rPr>
        <w:t>x</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corresponds to the conjugate transpose of </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ψ</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KaTeX_Main" w:cs="Times New Roman Regular"/>
          <w:b/>
          <w:bCs/>
          <w:i w:val="0"/>
          <w:iCs w:val="0"/>
          <w:caps w:val="0"/>
          <w:color w:val="0000FF"/>
          <w:spacing w:val="0"/>
          <w:kern w:val="0"/>
          <w:sz w:val="21"/>
          <w:szCs w:val="21"/>
          <w:u w:val="none"/>
          <w:vertAlign w:val="baseline"/>
          <w:lang w:val="en-US" w:eastAsia="zh-CN" w:bidi="ar"/>
        </w:rPr>
        <w:t>x</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 The probabilities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P</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qi</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=0)</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and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P</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qi</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=1)</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represent the respective likelihoods of measuring the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i</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-th qubit in states </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∥0⟩</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and </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∥1⟩</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 both taking dimensionless values in the range </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[0,1]</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 while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qi</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indicates the binary measurement outcome of the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i</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-th qubit with possible values </w:t>
      </w:r>
      <w:r>
        <w:rPr>
          <w:rFonts w:hint="default" w:ascii="Times New Roman Regular" w:hAnsi="Times New Roman Regular" w:eastAsia="KaTeX_Main" w:cs="Times New Roman Regular"/>
          <w:b w:val="0"/>
          <w:bCs w:val="0"/>
          <w:i w:val="0"/>
          <w:iCs w:val="0"/>
          <w:caps w:val="0"/>
          <w:color w:val="0000FF"/>
          <w:spacing w:val="0"/>
          <w:kern w:val="0"/>
          <w:sz w:val="21"/>
          <w:szCs w:val="21"/>
          <w:u w:val="none"/>
          <w:vertAlign w:val="baseline"/>
          <w:lang w:val="en-US" w:eastAsia="zh-CN" w:bidi="ar"/>
        </w:rPr>
        <w:t>{0,1}</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 </w:t>
      </w:r>
      <w:r>
        <w:rPr>
          <w:rFonts w:ascii="Times New Roman Regular" w:hAnsi="Times New Roman Regular" w:cs="Times New Roman Regular"/>
          <w:color w:val="0000FF"/>
        </w:rPr>
        <w:t>This method requires no quantum hardware sampling, completely avoiding the interference of measurement noise and shot noise on small-sample modeling, thus ensuring the determinism and reproducibility of feature generation.</w:t>
      </w:r>
      <w:r>
        <w:rPr>
          <w:rFonts w:hint="eastAsia" w:ascii="Times New Roman Regular" w:hAnsi="Times New Roman Regular" w:cs="Times New Roman Regular"/>
          <w:color w:val="0000FF"/>
          <w:lang w:val="en-US" w:eastAsia="zh-CN"/>
        </w:rPr>
        <w:t xml:space="preserve"> This analytical expectation value calculation was implemented using the Statevector module in Qiskit, ensuring deterministic feature generation without shot noise.</w:t>
      </w:r>
    </w:p>
    <w:p w14:paraId="4F4D0BA0">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(2) Feature Fusion and Modeling</w:t>
      </w:r>
    </w:p>
    <w:p w14:paraId="59C3CDA5">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Concatenate the original n-dimensional raw features with the n-dimensional quantum ⟨Z⟩ features to form a 2n-dimensional hybrid feature vector x_aug = [x_raw; ⟨Z⟩] (</w:t>
      </w:r>
      <w:r>
        <w:rPr>
          <w:rFonts w:ascii="Times New Roman Regular" w:hAnsi="Times New Roman Regular" w:cs="Times New Roman Regular"/>
          <w:color w:val="0000FF"/>
        </w:rPr>
        <w:t>Cowlessur et al., 2025).</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 xml:space="preserve">That is, original features+quantum encoded features. </w:t>
      </w:r>
      <w:r>
        <w:rPr>
          <w:rFonts w:hint="eastAsia" w:ascii="Times New Roman Regular" w:hAnsi="Times New Roman Regular" w:cs="Times New Roman Regular"/>
          <w:color w:val="0000FF"/>
        </w:rPr>
        <w:t>This feature fusion strategy retains the original physical information of the hydrochemical parameters while introducing non-linear entangled quantum features, expanding the feature space to enhance the model</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s discriminative ability for complex non-linear relationships. Using this augmented feature vector as input, we construct a random forest regression model with identical hyperparameter settings to the classical RF baseline model, to ensure a fair performance comparison between the two models:</w:t>
      </w:r>
      <w:r>
        <w:rPr>
          <w:rFonts w:ascii="Times New Roman Regular" w:hAnsi="Times New Roman Regular" w:cs="Times New Roman Regular"/>
          <w:color w:val="0000FF"/>
        </w:rPr>
        <w:t>:</w:t>
      </w:r>
    </w:p>
    <w:p w14:paraId="47B50896">
      <w:pPr>
        <w:spacing w:line="300" w:lineRule="auto"/>
        <w:jc w:val="right"/>
        <w:rPr>
          <w:rFonts w:ascii="Times New Roman Regular" w:hAnsi="Times New Roman Regular" w:cs="Times New Roman Regular"/>
          <w:color w:val="0000FF"/>
          <w:sz w:val="18"/>
          <w:szCs w:val="18"/>
        </w:rPr>
      </w:pPr>
      <m:oMath>
        <m:acc>
          <m:accPr>
            <m:ctrlPr>
              <w:rPr>
                <w:rFonts w:ascii="DejaVu Math TeX Gyre" w:hAnsi="DejaVu Math TeX Gyre" w:cs="Times New Roman Regular"/>
                <w:color w:val="0000FF"/>
                <w:sz w:val="18"/>
                <w:szCs w:val="18"/>
              </w:rPr>
            </m:ctrlPr>
          </m:accPr>
          <m:e>
            <m:r>
              <m:rPr>
                <m:nor/>
              </m:rPr>
              <w:rPr>
                <w:rFonts w:ascii="DejaVu Math TeX Gyre" w:hAnsi="DejaVu Math TeX Gyre" w:cs="Times New Roman Regular"/>
                <w:i/>
                <w:color w:val="0000FF"/>
                <w:sz w:val="18"/>
                <w:szCs w:val="18"/>
              </w:rPr>
              <m:t>y</m:t>
            </m:r>
            <m:ctrlPr>
              <w:rPr>
                <w:rFonts w:ascii="DejaVu Math TeX Gyre" w:hAnsi="DejaVu Math TeX Gyre" w:cs="Times New Roman Regular"/>
                <w:color w:val="0000FF"/>
                <w:sz w:val="18"/>
                <w:szCs w:val="18"/>
              </w:rPr>
            </m:ctrlPr>
          </m:e>
        </m:acc>
        <m:r>
          <m:rPr>
            <m:nor/>
            <m:sty m:val="p"/>
          </m:rPr>
          <w:rPr>
            <w:rFonts w:ascii="DejaVu Math TeX Gyre" w:hAnsi="DejaVu Math TeX Gyre" w:cs="Times New Roman Regular"/>
            <w:b w:val="0"/>
            <w:i w:val="0"/>
            <w:color w:val="0000FF"/>
            <w:sz w:val="18"/>
            <w:szCs w:val="18"/>
          </w:rPr>
          <m:t>=</m:t>
        </m:r>
        <m:f>
          <m:fPr>
            <m:ctrlPr>
              <w:rPr>
                <w:rFonts w:ascii="DejaVu Math TeX Gyre" w:hAnsi="DejaVu Math TeX Gyre" w:cs="Times New Roman Regular"/>
                <w:i/>
                <w:color w:val="0000FF"/>
                <w:sz w:val="18"/>
                <w:szCs w:val="18"/>
              </w:rPr>
            </m:ctrlPr>
          </m:fPr>
          <m:num>
            <m:r>
              <m:rPr>
                <m:nor/>
                <m:sty m:val="p"/>
              </m:rPr>
              <w:rPr>
                <w:rFonts w:ascii="DejaVu Math TeX Gyre" w:hAnsi="DejaVu Math TeX Gyre" w:cs="Times New Roman Regular"/>
                <w:b w:val="0"/>
                <w:i w:val="0"/>
                <w:color w:val="0000FF"/>
                <w:sz w:val="18"/>
                <w:szCs w:val="18"/>
              </w:rPr>
              <m:t>1</m:t>
            </m:r>
            <m:ctrlPr>
              <w:rPr>
                <w:rFonts w:ascii="DejaVu Math TeX Gyre" w:hAnsi="DejaVu Math TeX Gyre" w:cs="Times New Roman Regular"/>
                <w:color w:val="0000FF"/>
                <w:sz w:val="18"/>
                <w:szCs w:val="18"/>
              </w:rPr>
            </m:ctrlPr>
          </m:num>
          <m:den>
            <m:r>
              <m:rPr>
                <m:nor/>
              </m:rPr>
              <w:rPr>
                <w:rFonts w:ascii="DejaVu Math TeX Gyre" w:hAnsi="DejaVu Math TeX Gyre" w:cs="Times New Roman Regular"/>
                <w:i/>
                <w:color w:val="0000FF"/>
                <w:sz w:val="18"/>
                <w:szCs w:val="18"/>
              </w:rPr>
              <m:t>M</m:t>
            </m:r>
            <m:ctrlPr>
              <w:rPr>
                <w:rFonts w:ascii="DejaVu Math TeX Gyre" w:hAnsi="DejaVu Math TeX Gyre" w:cs="Times New Roman Regular"/>
                <w:color w:val="0000FF"/>
                <w:sz w:val="18"/>
                <w:szCs w:val="18"/>
              </w:rPr>
            </m:ctrlPr>
          </m:den>
        </m:f>
        <m:sSub>
          <m:sSubPr>
            <m:ctrlPr>
              <w:rPr>
                <w:rFonts w:ascii="DejaVu Math TeX Gyre" w:hAnsi="DejaVu Math TeX Gyre" w:cs="Times New Roman Regular"/>
                <w:color w:val="0000FF"/>
                <w:sz w:val="18"/>
                <w:szCs w:val="18"/>
              </w:rPr>
            </m:ctrlPr>
          </m:sSubPr>
          <m:e>
            <m:nary>
              <m:naryPr>
                <m:chr m:val="∑"/>
                <m:limLoc m:val="undOvr"/>
                <m:ctrlPr>
                  <w:rPr>
                    <w:rFonts w:ascii="DejaVu Math TeX Gyre" w:hAnsi="DejaVu Math TeX Gyre" w:cs="Times New Roman Regular"/>
                    <w:i/>
                    <w:color w:val="0000FF"/>
                    <w:sz w:val="18"/>
                    <w:szCs w:val="18"/>
                  </w:rPr>
                </m:ctrlPr>
              </m:naryPr>
              <m:sub>
                <m:r>
                  <m:rPr>
                    <m:nor/>
                  </m:rPr>
                  <w:rPr>
                    <w:rFonts w:ascii="DejaVu Math TeX Gyre" w:hAnsi="DejaVu Math TeX Gyre" w:cs="Times New Roman Regular"/>
                    <w:i/>
                    <w:color w:val="0000FF"/>
                    <w:sz w:val="18"/>
                    <w:szCs w:val="18"/>
                  </w:rPr>
                  <m:t>m</m:t>
                </m:r>
                <m:r>
                  <m:rPr>
                    <m:nor/>
                    <m:sty m:val="p"/>
                  </m:rPr>
                  <w:rPr>
                    <w:rFonts w:ascii="DejaVu Math TeX Gyre" w:hAnsi="DejaVu Math TeX Gyre" w:cs="Times New Roman Regular"/>
                    <w:b w:val="0"/>
                    <w:i w:val="0"/>
                    <w:color w:val="0000FF"/>
                    <w:sz w:val="18"/>
                    <w:szCs w:val="18"/>
                  </w:rPr>
                  <m:t>=1</m:t>
                </m:r>
                <m:ctrlPr>
                  <w:rPr>
                    <w:rFonts w:ascii="DejaVu Math TeX Gyre" w:hAnsi="DejaVu Math TeX Gyre" w:cs="Times New Roman Regular"/>
                    <w:color w:val="0000FF"/>
                    <w:sz w:val="18"/>
                    <w:szCs w:val="18"/>
                  </w:rPr>
                </m:ctrlPr>
              </m:sub>
              <m:sup>
                <m:r>
                  <m:rPr>
                    <m:nor/>
                  </m:rPr>
                  <w:rPr>
                    <w:rFonts w:ascii="DejaVu Math TeX Gyre" w:hAnsi="DejaVu Math TeX Gyre" w:cs="Times New Roman Regular"/>
                    <w:i/>
                    <w:color w:val="0000FF"/>
                    <w:sz w:val="18"/>
                    <w:szCs w:val="18"/>
                  </w:rPr>
                  <m:t>M</m:t>
                </m:r>
                <m:ctrlPr>
                  <w:rPr>
                    <w:rFonts w:ascii="DejaVu Math TeX Gyre" w:hAnsi="DejaVu Math TeX Gyre" w:cs="Times New Roman Regular"/>
                    <w:color w:val="0000FF"/>
                    <w:sz w:val="18"/>
                    <w:szCs w:val="18"/>
                  </w:rPr>
                </m:ctrlPr>
              </m:sup>
              <m:e>
                <m:r>
                  <m:rPr>
                    <m:nor/>
                    <m:sty m:val="p"/>
                  </m:rPr>
                  <w:rPr>
                    <w:rFonts w:ascii="DejaVu Math TeX Gyre" w:hAnsi="DejaVu Math TeX Gyre" w:cs="Times New Roman Regular"/>
                    <w:b w:val="0"/>
                    <w:i w:val="0"/>
                    <w:color w:val="0000FF"/>
                    <w:sz w:val="18"/>
                    <w:szCs w:val="18"/>
                  </w:rPr>
                  <m:t>Tree</m:t>
                </m:r>
                <m:ctrlPr>
                  <w:rPr>
                    <w:rFonts w:ascii="DejaVu Math TeX Gyre" w:hAnsi="DejaVu Math TeX Gyre" w:cs="Times New Roman Regular"/>
                    <w:color w:val="0000FF"/>
                    <w:sz w:val="18"/>
                    <w:szCs w:val="18"/>
                  </w:rPr>
                </m:ctrlPr>
              </m:e>
            </m:nary>
            <m:ctrlPr>
              <w:rPr>
                <w:rFonts w:ascii="DejaVu Math TeX Gyre" w:hAnsi="DejaVu Math TeX Gyre" w:cs="Times New Roman Regular"/>
                <w:i/>
                <w:color w:val="0000FF"/>
                <w:sz w:val="18"/>
                <w:szCs w:val="18"/>
              </w:rPr>
            </m:ctrlPr>
          </m:e>
          <m:sub>
            <m:r>
              <m:rPr>
                <m:nor/>
              </m:rPr>
              <w:rPr>
                <w:rFonts w:ascii="DejaVu Math TeX Gyre" w:hAnsi="DejaVu Math TeX Gyre" w:cs="Times New Roman Regular"/>
                <w:i/>
                <w:color w:val="0000FF"/>
                <w:sz w:val="18"/>
                <w:szCs w:val="18"/>
              </w:rPr>
              <m:t>m</m:t>
            </m:r>
            <m:ctrlPr>
              <w:rPr>
                <w:rFonts w:ascii="DejaVu Math TeX Gyre" w:hAnsi="DejaVu Math TeX Gyre" w:cs="Times New Roman Regular"/>
                <w:i/>
                <w:color w:val="0000FF"/>
                <w:sz w:val="18"/>
                <w:szCs w:val="18"/>
              </w:rPr>
            </m:ctrlPr>
          </m:sub>
        </m:sSub>
        <m:r>
          <m:rPr>
            <m:nor/>
            <m:sty m:val="p"/>
          </m:rPr>
          <w:rPr>
            <w:rFonts w:ascii="DejaVu Math TeX Gyre" w:hAnsi="DejaVu Math TeX Gyre" w:cs="Times New Roman Regular"/>
            <w:b w:val="0"/>
            <w:i w:val="0"/>
            <w:color w:val="0000FF"/>
            <w:sz w:val="18"/>
            <w:szCs w:val="18"/>
          </w:rPr>
          <m:t>(</m:t>
        </m:r>
        <m:sSub>
          <m:sSubPr>
            <m:ctrlPr>
              <w:rPr>
                <w:rFonts w:ascii="DejaVu Math TeX Gyre" w:hAnsi="DejaVu Math TeX Gyre" w:cs="Times New Roman Regular"/>
                <w:color w:val="0000FF"/>
                <w:sz w:val="18"/>
                <w:szCs w:val="18"/>
              </w:rPr>
            </m:ctrlPr>
          </m:sSubPr>
          <m:e>
            <m:r>
              <m:rPr>
                <m:nor/>
              </m:rPr>
              <w:rPr>
                <w:rFonts w:ascii="DejaVu Math TeX Gyre" w:hAnsi="DejaVu Math TeX Gyre" w:cs="Times New Roman Regular"/>
                <w:i/>
                <w:color w:val="0000FF"/>
                <w:sz w:val="18"/>
                <w:szCs w:val="18"/>
              </w:rPr>
              <m:t>x</m:t>
            </m:r>
            <m:ctrlPr>
              <w:rPr>
                <w:rFonts w:ascii="DejaVu Math TeX Gyre" w:hAnsi="DejaVu Math TeX Gyre" w:cs="Times New Roman Regular"/>
                <w:i/>
                <w:color w:val="0000FF"/>
                <w:sz w:val="18"/>
                <w:szCs w:val="18"/>
              </w:rPr>
            </m:ctrlPr>
          </m:e>
          <m:sub>
            <m:r>
              <m:rPr>
                <m:nor/>
                <m:sty m:val="p"/>
              </m:rPr>
              <w:rPr>
                <w:rFonts w:ascii="DejaVu Math TeX Gyre" w:hAnsi="DejaVu Math TeX Gyre" w:cs="Times New Roman Regular"/>
                <w:b w:val="0"/>
                <w:i w:val="0"/>
                <w:color w:val="0000FF"/>
                <w:sz w:val="18"/>
                <w:szCs w:val="18"/>
              </w:rPr>
              <m:t>a</m:t>
            </m:r>
            <m:r>
              <m:rPr>
                <m:nor/>
              </m:rPr>
              <w:rPr>
                <w:rFonts w:ascii="DejaVu Math TeX Gyre" w:hAnsi="DejaVu Math TeX Gyre" w:cs="Times New Roman Regular"/>
                <w:i/>
                <w:color w:val="0000FF"/>
                <w:sz w:val="18"/>
                <w:szCs w:val="18"/>
              </w:rPr>
              <m:t>ug</m:t>
            </m:r>
            <m:ctrlPr>
              <w:rPr>
                <w:rFonts w:ascii="DejaVu Math TeX Gyre" w:hAnsi="DejaVu Math TeX Gyre" w:cs="Times New Roman Regular"/>
                <w:i/>
                <w:color w:val="0000FF"/>
                <w:sz w:val="18"/>
                <w:szCs w:val="18"/>
              </w:rPr>
            </m:ctrlPr>
          </m:sub>
        </m:sSub>
        <m:r>
          <m:rPr>
            <m:nor/>
            <m:sty m:val="p"/>
          </m:rPr>
          <w:rPr>
            <w:rFonts w:ascii="DejaVu Math TeX Gyre" w:hAnsi="DejaVu Math TeX Gyre" w:cs="Times New Roman Regular"/>
            <w:b w:val="0"/>
            <w:i w:val="0"/>
            <w:color w:val="0000FF"/>
            <w:sz w:val="18"/>
            <w:szCs w:val="18"/>
          </w:rPr>
          <m:t>)</m:t>
        </m:r>
      </m:oMath>
      <w:r>
        <w:rPr>
          <w:rFonts w:ascii="Times New Roman Regular" w:hAnsi="Times New Roman Regular" w:cs="Times New Roman Regular"/>
          <w:color w:val="0000FF"/>
          <w:sz w:val="18"/>
          <w:szCs w:val="18"/>
        </w:rPr>
        <w:t xml:space="preserve">                                 (</w:t>
      </w:r>
      <w:r>
        <w:rPr>
          <w:rFonts w:hint="default" w:ascii="Times New Roman Regular" w:hAnsi="Times New Roman Regular" w:cs="Times New Roman Regular"/>
          <w:color w:val="0000FF"/>
          <w:sz w:val="18"/>
          <w:szCs w:val="18"/>
          <w:lang w:val="en-US"/>
        </w:rPr>
        <w:t>9</w:t>
      </w:r>
      <w:r>
        <w:rPr>
          <w:rFonts w:ascii="Times New Roman Regular" w:hAnsi="Times New Roman Regular" w:cs="Times New Roman Regular"/>
          <w:color w:val="0000FF"/>
          <w:sz w:val="18"/>
          <w:szCs w:val="18"/>
        </w:rPr>
        <w:t>)</w:t>
      </w:r>
    </w:p>
    <w:p w14:paraId="734E94BA">
      <w:pPr>
        <w:widowControl/>
        <w:spacing w:line="300" w:lineRule="auto"/>
        <w:ind w:firstLine="420"/>
        <w:rPr>
          <w:rFonts w:ascii="Times New Roman Regular" w:hAnsi="Times New Roman Regular" w:cs="Times New Roman Regular"/>
          <w:color w:val="0000FF"/>
        </w:rPr>
      </w:pPr>
      <w:r>
        <w:rPr>
          <w:rFonts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The symbol </w:t>
      </w:r>
      <m:oMath>
        <m:acc>
          <m:accPr>
            <m:ctrlPr>
              <w:rPr>
                <w:rFonts w:ascii="DejaVu Math TeX Gyre" w:hAnsi="DejaVu Math TeX Gyre" w:cs="Times New Roman Regular"/>
                <w:color w:val="0000FF"/>
                <w:sz w:val="18"/>
                <w:szCs w:val="18"/>
              </w:rPr>
            </m:ctrlPr>
          </m:accPr>
          <m:e>
            <m:r>
              <m:rPr>
                <m:nor/>
              </m:rPr>
              <w:rPr>
                <w:rFonts w:ascii="DejaVu Math TeX Gyre" w:hAnsi="DejaVu Math TeX Gyre" w:cs="Times New Roman Regular"/>
                <w:i/>
                <w:color w:val="0000FF"/>
                <w:sz w:val="18"/>
                <w:szCs w:val="18"/>
              </w:rPr>
              <m:t>y</m:t>
            </m:r>
            <m:ctrlPr>
              <w:rPr>
                <w:rFonts w:ascii="DejaVu Math TeX Gyre" w:hAnsi="DejaVu Math TeX Gyre" w:cs="Times New Roman Regular"/>
                <w:color w:val="0000FF"/>
                <w:sz w:val="18"/>
                <w:szCs w:val="18"/>
              </w:rPr>
            </m:ctrlPr>
          </m:e>
        </m:acc>
      </m:oMath>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represents the predicted output value of the regression model, with units</w:t>
      </w:r>
      <w:r>
        <w:rPr>
          <w:rFonts w:hint="eastAsia"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corresponding to the target variable. The parameter M denotes the total number of decision trees in the ensemble. </w:t>
      </w:r>
      <w:r>
        <w:rPr>
          <w:rFonts w:hint="default" w:ascii="Times New Roman Regular" w:hAnsi="Times New Roman Regular" w:eastAsia="Times New Roman" w:cs="Times New Roman Regular"/>
          <w:b w:val="0"/>
          <w:bCs w:val="0"/>
          <w:i w:val="0"/>
          <w:iCs w:val="0"/>
          <w:caps w:val="0"/>
          <w:color w:val="0000FF"/>
          <w:spacing w:val="0"/>
          <w:kern w:val="0"/>
          <w:sz w:val="21"/>
          <w:szCs w:val="21"/>
          <w:u w:val="none"/>
          <w:vertAlign w:val="baseline"/>
          <w:lang w:val="en-US" w:eastAsia="zh-CN" w:bidi="ar"/>
        </w:rPr>
        <w:t>Tree</w:t>
      </w:r>
      <w:r>
        <w:rPr>
          <w:rFonts w:ascii="Times New Roman Regular" w:hAnsi="Times New Roman Regular" w:eastAsia="KaTeX_Math" w:cs="Times New Roman Regular"/>
          <w:b w:val="0"/>
          <w:bCs w:val="0"/>
          <w:i/>
          <w:iCs/>
          <w:caps w:val="0"/>
          <w:color w:val="0000FF"/>
          <w:spacing w:val="0"/>
          <w:kern w:val="0"/>
          <w:sz w:val="21"/>
          <w:szCs w:val="21"/>
          <w:u w:val="none"/>
          <w:vertAlign w:val="subscript"/>
          <w:lang w:val="en-US" w:eastAsia="zh-CN" w:bidi="ar"/>
        </w:rPr>
        <w:t>m</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represents the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m</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-th decision tree regressor in the ensemble. </w:t>
      </w:r>
      <w:r>
        <w:rPr>
          <w:rFonts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The input </w:t>
      </w:r>
      <w:r>
        <w:rPr>
          <w:rFonts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x</w:t>
      </w:r>
      <w:r>
        <w:rPr>
          <w:rFonts w:hint="default" w:ascii="Times New Roman Regular" w:hAnsi="Times New Roman Regular" w:eastAsia="KaTeX_Math" w:cs="Times New Roman Regular"/>
          <w:b w:val="0"/>
          <w:bCs w:val="0"/>
          <w:i/>
          <w:iCs/>
          <w:caps w:val="0"/>
          <w:color w:val="0000FF"/>
          <w:spacing w:val="0"/>
          <w:kern w:val="0"/>
          <w:sz w:val="21"/>
          <w:szCs w:val="21"/>
          <w:u w:val="none"/>
          <w:vertAlign w:val="subscript"/>
          <w:lang w:val="en-US" w:eastAsia="zh-CN" w:bidi="ar"/>
        </w:rPr>
        <w:t xml:space="preserve">aug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refers to the augmented hybrid feature vector formed by concatenating the original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n</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-dimensional raw features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x</w:t>
      </w:r>
      <w:r>
        <w:rPr>
          <w:rFonts w:hint="default" w:ascii="Times New Roman Regular" w:hAnsi="Times New Roman Regular" w:eastAsia="KaTeX_Math" w:cs="Times New Roman Regular"/>
          <w:b w:val="0"/>
          <w:bCs w:val="0"/>
          <w:i/>
          <w:iCs/>
          <w:caps w:val="0"/>
          <w:color w:val="0000FF"/>
          <w:spacing w:val="0"/>
          <w:kern w:val="0"/>
          <w:sz w:val="21"/>
          <w:szCs w:val="21"/>
          <w:u w:val="none"/>
          <w:vertAlign w:val="subscript"/>
          <w:lang w:val="en-US" w:eastAsia="zh-CN" w:bidi="ar"/>
        </w:rPr>
        <w:t xml:space="preserve">raw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with the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n</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-dimensional quantum </w:t>
      </w:r>
      <w:r>
        <w:rPr>
          <w:rFonts w:hint="default" w:ascii="Times New Roman Regular" w:hAnsi="Times New Roman Regular" w:eastAsia="Times New Roma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Z</w:t>
      </w:r>
      <w:r>
        <w:rPr>
          <w:rFonts w:hint="default" w:ascii="Times New Roman Regular" w:hAnsi="Times New Roman Regular" w:eastAsia="Times New Roman" w:cs="Times New Roman Regular"/>
          <w:b w:val="0"/>
          <w:bCs w:val="0"/>
          <w:i w:val="0"/>
          <w:iCs w:val="0"/>
          <w:caps w:val="0"/>
          <w:color w:val="0000FF"/>
          <w:spacing w:val="0"/>
          <w:kern w:val="0"/>
          <w:sz w:val="21"/>
          <w:szCs w:val="21"/>
          <w:u w:val="none"/>
          <w:vertAlign w:val="baseline"/>
          <w:lang w:val="en-US" w:eastAsia="zh-CN" w:bidi="ar"/>
        </w:rPr>
        <w:t>⟩</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features. </w:t>
      </w:r>
      <w:r>
        <w:rPr>
          <w:rFonts w:ascii="Times New Roman Regular" w:hAnsi="Times New Roman Regular" w:cs="Times New Roman Regular"/>
          <w:color w:val="0000FF"/>
        </w:rPr>
        <w:t>The hyperparameter settings are the same as those for the classical random forest method described above.</w:t>
      </w:r>
    </w:p>
    <w:p w14:paraId="2993A04C">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p>
    <w:p w14:paraId="5ED93026">
      <w:pPr>
        <w:spacing w:line="300" w:lineRule="auto"/>
        <w:outlineLvl w:val="1"/>
        <w:rPr>
          <w:rFonts w:ascii="Times New Roman Regular" w:hAnsi="Times New Roman Regular" w:cs="Times New Roman Regular"/>
          <w:color w:val="0000FF"/>
        </w:rPr>
      </w:pPr>
      <w:r>
        <w:rPr>
          <w:rFonts w:hint="eastAsia" w:ascii="Times New Roman Regular" w:hAnsi="Times New Roman Regular" w:cs="Times New Roman Regular"/>
          <w:color w:val="0000FF"/>
        </w:rPr>
        <w:t>2.</w:t>
      </w:r>
      <w:r>
        <w:rPr>
          <w:rFonts w:hint="eastAsia" w:ascii="Times New Roman Regular" w:hAnsi="Times New Roman Regular" w:cs="Times New Roman Regular"/>
          <w:color w:val="0000FF"/>
          <w:lang w:val="en-US" w:eastAsia="zh-CN"/>
        </w:rPr>
        <w:t>7</w:t>
      </w:r>
      <w:r>
        <w:rPr>
          <w:rFonts w:hint="eastAsia" w:ascii="Times New Roman Regular" w:hAnsi="Times New Roman Regular" w:cs="Times New Roman Regular"/>
          <w:color w:val="0000FF"/>
        </w:rPr>
        <w:t xml:space="preserve"> Evaluation methods and </w:t>
      </w:r>
      <w:r>
        <w:rPr>
          <w:rFonts w:ascii="Times New Roman Regular" w:hAnsi="Times New Roman Regular" w:cs="Times New Roman Regular"/>
          <w:color w:val="0000FF"/>
        </w:rPr>
        <w:t>p</w:t>
      </w:r>
      <w:r>
        <w:rPr>
          <w:rFonts w:hint="eastAsia" w:ascii="Times New Roman Regular" w:hAnsi="Times New Roman Regular" w:cs="Times New Roman Regular"/>
          <w:color w:val="0000FF"/>
        </w:rPr>
        <w:t xml:space="preserve">rediction </w:t>
      </w:r>
      <w:r>
        <w:rPr>
          <w:rFonts w:ascii="Times New Roman Regular" w:hAnsi="Times New Roman Regular" w:cs="Times New Roman Regular"/>
          <w:color w:val="0000FF"/>
        </w:rPr>
        <w:t>p</w:t>
      </w:r>
      <w:r>
        <w:rPr>
          <w:rFonts w:hint="eastAsia" w:ascii="Times New Roman Regular" w:hAnsi="Times New Roman Regular" w:cs="Times New Roman Regular"/>
          <w:color w:val="0000FF"/>
        </w:rPr>
        <w:t>rocess</w:t>
      </w:r>
    </w:p>
    <w:p w14:paraId="4D191951">
      <w:pPr>
        <w:spacing w:line="300" w:lineRule="auto"/>
        <w:outlineLvl w:val="2"/>
        <w:rPr>
          <w:rFonts w:ascii="Times New Roman Regular" w:hAnsi="Times New Roman Regular" w:cs="Times New Roman Regular"/>
          <w:color w:val="0000FF"/>
        </w:rPr>
      </w:pPr>
      <w:r>
        <w:rPr>
          <w:rFonts w:hint="eastAsia" w:ascii="Times New Roman Regular" w:hAnsi="Times New Roman Regular" w:cs="Times New Roman Regular"/>
          <w:color w:val="0000FF"/>
        </w:rPr>
        <w:t>2.</w:t>
      </w:r>
      <w:r>
        <w:rPr>
          <w:rFonts w:hint="eastAsia" w:ascii="Times New Roman Regular" w:hAnsi="Times New Roman Regular" w:cs="Times New Roman Regular"/>
          <w:color w:val="0000FF"/>
          <w:lang w:val="en-US" w:eastAsia="zh-CN"/>
        </w:rPr>
        <w:t>7</w:t>
      </w:r>
      <w:r>
        <w:rPr>
          <w:rFonts w:hint="eastAsia" w:ascii="Times New Roman Regular" w:hAnsi="Times New Roman Regular" w:cs="Times New Roman Regular"/>
          <w:color w:val="0000FF"/>
        </w:rPr>
        <w:t xml:space="preserve">.1 SHAP </w:t>
      </w:r>
      <w:r>
        <w:rPr>
          <w:rFonts w:ascii="Times New Roman Regular" w:hAnsi="Times New Roman Regular" w:cs="Times New Roman Regular"/>
          <w:color w:val="0000FF"/>
        </w:rPr>
        <w:t>a</w:t>
      </w:r>
      <w:r>
        <w:rPr>
          <w:rFonts w:hint="eastAsia" w:ascii="Times New Roman Regular" w:hAnsi="Times New Roman Regular" w:cs="Times New Roman Regular"/>
          <w:color w:val="0000FF"/>
        </w:rPr>
        <w:t>nalysis</w:t>
      </w:r>
    </w:p>
    <w:p w14:paraId="56ED0766">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This study adopts the SHapley Additive exPlanations (SHAP) method for local and global explainability analysis</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Merabet et al., 2025)</w:t>
      </w:r>
      <w:r>
        <w:rPr>
          <w:rFonts w:hint="eastAsia" w:ascii="Times New Roman Regular" w:hAnsi="Times New Roman Regular" w:cs="Times New Roman Regular"/>
          <w:color w:val="0000FF"/>
        </w:rPr>
        <w:t>. Through three typical visualization methods, namely summary plot, dependence plot, and waterfall plot, the following are revealed respectively: (1) The overall ranking and distribution of feature importance across all samples (global perspective); (2) The nonlinear relationship or interaction effects between a single predictor variable and the predicted nitrate concentration (conditional dependence); (3) The contribution decomposition of each feature in the prediction result of a representative sample (local attribution)</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Alam et al., 2025)</w:t>
      </w:r>
      <w:r>
        <w:rPr>
          <w:rFonts w:hint="eastAsia" w:ascii="Times New Roman Regular" w:hAnsi="Times New Roman Regular" w:cs="Times New Roman Regular"/>
          <w:color w:val="0000FF"/>
        </w:rPr>
        <w:t>.</w:t>
      </w:r>
    </w:p>
    <w:p w14:paraId="5E41BF20">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The SHAP value is mathematically defined as: the marginal contribution of feature j to the model output offset from the baseline mean</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Li et al., 2024)</w:t>
      </w:r>
      <w:r>
        <w:rPr>
          <w:rFonts w:hint="eastAsia" w:ascii="Times New Roman Regular" w:hAnsi="Times New Roman Regular" w:cs="Times New Roman Regular"/>
          <w:color w:val="0000FF"/>
        </w:rPr>
        <w:t>, and its form is:</w:t>
      </w:r>
    </w:p>
    <w:p w14:paraId="1B4E1E1F">
      <w:pPr>
        <w:spacing w:line="300" w:lineRule="auto"/>
        <w:ind w:firstLine="420"/>
        <w:jc w:val="right"/>
        <w:rPr>
          <w:rFonts w:ascii="Times New Roman Regular" w:hAnsi="Times New Roman Regular" w:cs="Times New Roman Regular"/>
          <w:color w:val="0000FF"/>
        </w:rPr>
      </w:pPr>
      <m:oMath>
        <m:sSub>
          <m:sSubPr>
            <m:ctrlPr>
              <w:rPr>
                <w:rFonts w:ascii="DejaVu Math TeX Gyre" w:hAnsi="DejaVu Math TeX Gyre" w:cs="Times New Roman Regular"/>
                <w:color w:val="0000FF"/>
              </w:rPr>
            </m:ctrlPr>
          </m:sSubPr>
          <m:e>
            <m:r>
              <m:rPr>
                <m:nor/>
                <m:sty m:val="p"/>
              </m:rPr>
              <w:rPr>
                <w:rFonts w:ascii="DejaVu Math TeX Gyre" w:hAnsi="DejaVu Math TeX Gyre" w:cs="Times New Roman Regular"/>
                <w:b w:val="0"/>
                <w:i w:val="0"/>
                <w:color w:val="0000FF"/>
              </w:rPr>
              <m:t>ϕ</m:t>
            </m:r>
            <m:ctrlPr>
              <w:rPr>
                <w:rFonts w:ascii="DejaVu Math TeX Gyre" w:hAnsi="DejaVu Math TeX Gyre" w:cs="Times New Roman Regular"/>
                <w:color w:val="0000FF"/>
              </w:rPr>
            </m:ctrlPr>
          </m:e>
          <m:sub>
            <m:r>
              <m:rPr>
                <m:nor/>
                <m:sty m:val="p"/>
              </m:rPr>
              <w:rPr>
                <w:rFonts w:ascii="DejaVu Math TeX Gyre" w:hAnsi="DejaVu Math TeX Gyre" w:cs="Times New Roman Regular"/>
                <w:b w:val="0"/>
                <w:i w:val="0"/>
                <w:color w:val="0000FF"/>
              </w:rPr>
              <m:t>j</m:t>
            </m:r>
            <m:ctrlPr>
              <w:rPr>
                <w:rFonts w:ascii="DejaVu Math TeX Gyre" w:hAnsi="DejaVu Math TeX Gyre" w:cs="Times New Roman Regular"/>
                <w:color w:val="0000FF"/>
              </w:rPr>
            </m:ctrlPr>
          </m:sub>
        </m:sSub>
        <m:r>
          <m:rPr>
            <m:nor/>
            <m:sty m:val="p"/>
          </m:rPr>
          <w:rPr>
            <w:rFonts w:ascii="DejaVu Math TeX Gyre" w:hAnsi="DejaVu Math TeX Gyre" w:cs="Times New Roman Regular"/>
            <w:b w:val="0"/>
            <w:i w:val="0"/>
            <w:color w:val="0000FF"/>
          </w:rPr>
          <m:t>=</m:t>
        </m:r>
        <m:nary>
          <m:naryPr>
            <m:chr m:val="∑"/>
            <m:limLoc m:val="undOvr"/>
            <m:supHide m:val="1"/>
            <m:ctrlPr>
              <w:rPr>
                <w:rFonts w:ascii="DejaVu Math TeX Gyre" w:hAnsi="DejaVu Math TeX Gyre" w:cs="Times New Roman Regular"/>
                <w:color w:val="0000FF"/>
              </w:rPr>
            </m:ctrlPr>
          </m:naryPr>
          <m:sub>
            <m:r>
              <m:rPr>
                <m:nor/>
                <m:sty m:val="p"/>
              </m:rPr>
              <w:rPr>
                <w:rFonts w:ascii="DejaVu Math TeX Gyre" w:hAnsi="DejaVu Math TeX Gyre" w:cs="Times New Roman Regular"/>
                <w:b w:val="0"/>
                <w:i w:val="0"/>
                <w:color w:val="0000FF"/>
              </w:rPr>
              <m:t>S⊆F∖{j}</m:t>
            </m:r>
            <m:ctrlPr>
              <w:rPr>
                <w:rFonts w:ascii="DejaVu Math TeX Gyre" w:hAnsi="DejaVu Math TeX Gyre" w:cs="Times New Roman Regular"/>
                <w:color w:val="0000FF"/>
              </w:rPr>
            </m:ctrlPr>
          </m:sub>
          <m:sup>
            <m:ctrlPr>
              <w:rPr>
                <w:rFonts w:ascii="DejaVu Math TeX Gyre" w:hAnsi="DejaVu Math TeX Gyre" w:cs="Times New Roman Regular"/>
                <w:color w:val="0000FF"/>
              </w:rPr>
            </m:ctrlPr>
          </m:sup>
          <m:e>
            <m:f>
              <m:fPr>
                <m:ctrlPr>
                  <w:rPr>
                    <w:rFonts w:ascii="DejaVu Math TeX Gyre" w:hAnsi="DejaVu Math TeX Gyre" w:cs="Times New Roman Regular"/>
                    <w:color w:val="0000FF"/>
                  </w:rPr>
                </m:ctrlPr>
              </m:fPr>
              <m:num>
                <m:r>
                  <m:rPr>
                    <m:nor/>
                    <m:sty m:val="p"/>
                  </m:rPr>
                  <w:rPr>
                    <w:rFonts w:ascii="DejaVu Math TeX Gyre" w:hAnsi="DejaVu Math TeX Gyre" w:cs="Times New Roman Regular"/>
                    <w:b w:val="0"/>
                    <w:i w:val="0"/>
                    <w:color w:val="0000FF"/>
                  </w:rPr>
                  <m:t>|S|!(|F|-|S|-1)!</m:t>
                </m:r>
                <m:ctrlPr>
                  <w:rPr>
                    <w:rFonts w:ascii="DejaVu Math TeX Gyre" w:hAnsi="DejaVu Math TeX Gyre" w:cs="Times New Roman Regular"/>
                    <w:color w:val="0000FF"/>
                  </w:rPr>
                </m:ctrlPr>
              </m:num>
              <m:den>
                <m:r>
                  <m:rPr>
                    <m:nor/>
                    <m:sty m:val="p"/>
                  </m:rPr>
                  <w:rPr>
                    <w:rFonts w:ascii="DejaVu Math TeX Gyre" w:hAnsi="DejaVu Math TeX Gyre" w:cs="Times New Roman Regular"/>
                    <w:b w:val="0"/>
                    <w:i w:val="0"/>
                    <w:color w:val="0000FF"/>
                  </w:rPr>
                  <m:t>|F|!</m:t>
                </m:r>
                <m:ctrlPr>
                  <w:rPr>
                    <w:rFonts w:ascii="DejaVu Math TeX Gyre" w:hAnsi="DejaVu Math TeX Gyre" w:cs="Times New Roman Regular"/>
                    <w:color w:val="0000FF"/>
                  </w:rPr>
                </m:ctrlPr>
              </m:den>
            </m:f>
            <m:ctrlPr>
              <w:rPr>
                <w:rFonts w:ascii="DejaVu Math TeX Gyre" w:hAnsi="DejaVu Math TeX Gyre" w:cs="Times New Roman Regular"/>
                <w:color w:val="0000FF"/>
              </w:rPr>
            </m:ctrlPr>
          </m:e>
        </m:nary>
        <m:r>
          <m:rPr>
            <m:nor/>
            <m:sty m:val="p"/>
          </m:rPr>
          <w:rPr>
            <w:rFonts w:ascii="DejaVu Math TeX Gyre" w:hAnsi="DejaVu Math TeX Gyre" w:cs="Times New Roman Regular"/>
            <w:b w:val="0"/>
            <w:i w:val="0"/>
            <w:color w:val="0000FF"/>
          </w:rPr>
          <m:t>[f(S∪{j})-f(S)]</m:t>
        </m:r>
      </m:oMath>
      <w:r>
        <w:rPr>
          <w:rFonts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17</w:t>
      </w:r>
      <w:r>
        <w:rPr>
          <w:rFonts w:ascii="Times New Roman Regular" w:hAnsi="Times New Roman Regular" w:cs="Times New Roman Regular"/>
          <w:color w:val="0000FF"/>
        </w:rPr>
        <w:t>)</w:t>
      </w:r>
    </w:p>
    <w:p w14:paraId="1EE64988">
      <w:pPr>
        <w:spacing w:line="300" w:lineRule="auto"/>
        <w:rPr>
          <w:rFonts w:ascii="Times New Roman Regular" w:hAnsi="Times New Roman Regular" w:cs="Times New Roman Regular"/>
          <w:color w:val="0000FF"/>
        </w:rPr>
      </w:pPr>
      <w:r>
        <w:rPr>
          <w:rFonts w:hint="eastAsia" w:ascii="Times New Roman Regular" w:hAnsi="Times New Roman Regular" w:cs="Times New Roman Regular"/>
          <w:color w:val="0000FF"/>
        </w:rPr>
        <w:t xml:space="preserve">where F is the set of all features, S is a subset not containing feature j, and f is the model output. By averaging the absolute SHAP values </w:t>
      </w:r>
      <m:oMath>
        <m:r>
          <m:rPr>
            <m:nor/>
            <m:sty m:val="p"/>
          </m:rPr>
          <w:rPr>
            <w:rFonts w:ascii="DejaVu Math TeX Gyre" w:hAnsi="DejaVu Math TeX Gyre" w:cs="Times New Roman Regular"/>
            <w:b w:val="0"/>
            <w:i w:val="0"/>
            <w:color w:val="0000FF"/>
          </w:rPr>
          <m:t>|</m:t>
        </m:r>
        <m:sSub>
          <m:sSubPr>
            <m:ctrlPr>
              <w:rPr>
                <w:rFonts w:ascii="DejaVu Math TeX Gyre" w:hAnsi="DejaVu Math TeX Gyre" w:cs="Times New Roman Regular"/>
                <w:color w:val="0000FF"/>
              </w:rPr>
            </m:ctrlPr>
          </m:sSubPr>
          <m:e>
            <m:r>
              <m:rPr>
                <m:nor/>
                <m:sty m:val="p"/>
              </m:rPr>
              <w:rPr>
                <w:rFonts w:ascii="DejaVu Math TeX Gyre" w:hAnsi="DejaVu Math TeX Gyre" w:cs="Times New Roman Regular"/>
                <w:b w:val="0"/>
                <w:i w:val="0"/>
                <w:color w:val="0000FF"/>
              </w:rPr>
              <m:t>ϕ</m:t>
            </m:r>
            <m:ctrlPr>
              <w:rPr>
                <w:rFonts w:ascii="DejaVu Math TeX Gyre" w:hAnsi="DejaVu Math TeX Gyre" w:cs="Times New Roman Regular"/>
                <w:color w:val="0000FF"/>
              </w:rPr>
            </m:ctrlPr>
          </m:e>
          <m:sub>
            <m:r>
              <m:rPr>
                <m:nor/>
                <m:sty m:val="p"/>
              </m:rPr>
              <w:rPr>
                <w:rFonts w:ascii="DejaVu Math TeX Gyre" w:hAnsi="DejaVu Math TeX Gyre" w:cs="Times New Roman Regular"/>
                <w:b w:val="0"/>
                <w:i w:val="0"/>
                <w:color w:val="0000FF"/>
              </w:rPr>
              <m:t>j</m:t>
            </m:r>
            <m:ctrlPr>
              <w:rPr>
                <w:rFonts w:ascii="DejaVu Math TeX Gyre" w:hAnsi="DejaVu Math TeX Gyre" w:cs="Times New Roman Regular"/>
                <w:color w:val="0000FF"/>
              </w:rPr>
            </m:ctrlPr>
          </m:sub>
        </m:sSub>
        <m:r>
          <m:rPr>
            <m:nor/>
            <m:sty m:val="p"/>
          </m:rPr>
          <w:rPr>
            <w:rFonts w:ascii="DejaVu Math TeX Gyre" w:hAnsi="DejaVu Math TeX Gyre" w:cs="Times New Roman Regular"/>
            <w:b w:val="0"/>
            <w:i w:val="0"/>
            <w:color w:val="0000FF"/>
          </w:rPr>
          <m:t>|</m:t>
        </m:r>
      </m:oMath>
      <w:r>
        <w:rPr>
          <w:rFonts w:hint="eastAsia" w:ascii="Times New Roman Regular" w:hAnsi="Times New Roman Regular" w:cs="Times New Roman Regular"/>
          <w:color w:val="0000FF"/>
        </w:rPr>
        <w:t xml:space="preserve"> over all samples, a feature importance measure with a game-theoretic foundation, unbiased and robust, can be obtained</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Hollmannet al., 2025)</w:t>
      </w:r>
      <w:r>
        <w:rPr>
          <w:rFonts w:hint="eastAsia" w:ascii="Times New Roman Regular" w:hAnsi="Times New Roman Regular" w:cs="Times New Roman Regular"/>
          <w:color w:val="0000FF"/>
        </w:rPr>
        <w:t>.</w:t>
      </w:r>
    </w:p>
    <w:p w14:paraId="039F97B7">
      <w:pPr>
        <w:spacing w:line="300" w:lineRule="auto"/>
        <w:rPr>
          <w:rFonts w:ascii="Times New Roman Regular" w:hAnsi="Times New Roman Regular" w:cs="Times New Roman Regular"/>
          <w:color w:val="0000FF"/>
        </w:rPr>
      </w:pPr>
    </w:p>
    <w:p w14:paraId="1C8BE887">
      <w:pPr>
        <w:spacing w:line="300" w:lineRule="auto"/>
        <w:outlineLvl w:val="2"/>
        <w:rPr>
          <w:rFonts w:ascii="Times New Roman Regular" w:hAnsi="Times New Roman Regular" w:cs="Times New Roman Regular"/>
          <w:color w:val="0000FF"/>
        </w:rPr>
      </w:pPr>
      <w:r>
        <w:rPr>
          <w:rFonts w:hint="eastAsia" w:ascii="Times New Roman Regular" w:hAnsi="Times New Roman Regular" w:cs="Times New Roman Regular"/>
          <w:color w:val="0000FF"/>
        </w:rPr>
        <w:t>2.</w:t>
      </w:r>
      <w:r>
        <w:rPr>
          <w:rFonts w:hint="eastAsia" w:ascii="Times New Roman Regular" w:hAnsi="Times New Roman Regular" w:cs="Times New Roman Regular"/>
          <w:color w:val="0000FF"/>
          <w:lang w:val="en-US" w:eastAsia="zh-CN"/>
        </w:rPr>
        <w:t>7</w:t>
      </w:r>
      <w:r>
        <w:rPr>
          <w:rFonts w:hint="eastAsia" w:ascii="Times New Roman Regular" w:hAnsi="Times New Roman Regular" w:cs="Times New Roman Regular"/>
          <w:color w:val="0000FF"/>
        </w:rPr>
        <w:t xml:space="preserve">.2 Leave-One-Out Cross-Validation (LOOCV) and </w:t>
      </w:r>
      <w:r>
        <w:rPr>
          <w:rFonts w:ascii="Times New Roman Regular" w:hAnsi="Times New Roman Regular" w:cs="Times New Roman Regular"/>
          <w:color w:val="0000FF"/>
        </w:rPr>
        <w:t>m</w:t>
      </w:r>
      <w:r>
        <w:rPr>
          <w:rFonts w:hint="eastAsia" w:ascii="Times New Roman Regular" w:hAnsi="Times New Roman Regular" w:cs="Times New Roman Regular"/>
          <w:color w:val="0000FF"/>
        </w:rPr>
        <w:t xml:space="preserve">odel </w:t>
      </w:r>
      <w:r>
        <w:rPr>
          <w:rFonts w:ascii="Times New Roman Regular" w:hAnsi="Times New Roman Regular" w:cs="Times New Roman Regular"/>
          <w:color w:val="0000FF"/>
        </w:rPr>
        <w:t>e</w:t>
      </w:r>
      <w:r>
        <w:rPr>
          <w:rFonts w:hint="eastAsia" w:ascii="Times New Roman Regular" w:hAnsi="Times New Roman Regular" w:cs="Times New Roman Regular"/>
          <w:color w:val="0000FF"/>
        </w:rPr>
        <w:t xml:space="preserve">valuation </w:t>
      </w:r>
      <w:r>
        <w:rPr>
          <w:rFonts w:ascii="Times New Roman Regular" w:hAnsi="Times New Roman Regular" w:cs="Times New Roman Regular"/>
          <w:color w:val="0000FF"/>
        </w:rPr>
        <w:t>i</w:t>
      </w:r>
      <w:r>
        <w:rPr>
          <w:rFonts w:hint="eastAsia" w:ascii="Times New Roman Regular" w:hAnsi="Times New Roman Regular" w:cs="Times New Roman Regular"/>
          <w:color w:val="0000FF"/>
        </w:rPr>
        <w:t>ndicators</w:t>
      </w:r>
    </w:p>
    <w:p w14:paraId="1C2E48B7">
      <w:pPr>
        <w:spacing w:line="300" w:lineRule="auto"/>
        <w:ind w:firstLine="420"/>
        <w:rPr>
          <w:rFonts w:hint="default" w:ascii="Times New Roman Regular" w:hAnsi="Times New Roman Regular" w:cs="Times New Roman Regular" w:eastAsiaTheme="minorEastAsia"/>
          <w:color w:val="0000FF"/>
          <w:lang w:val="en-US" w:eastAsia="zh-CN"/>
        </w:rPr>
      </w:pPr>
      <w:r>
        <w:rPr>
          <w:rFonts w:hint="eastAsia" w:ascii="Times New Roman Regular" w:hAnsi="Times New Roman Regular" w:cs="Times New Roman Regular"/>
          <w:color w:val="0000FF"/>
        </w:rPr>
        <w:t>Given the limited sample size in each hydrological season, this study adopts Leave-One-Out Cross-Validation (LOOCV) for model performance evaluation to maximize the use of training data and reduce evaluation bias</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Austin et al., 2025)</w:t>
      </w:r>
      <w:r>
        <w:rPr>
          <w:rFonts w:hint="eastAsia" w:ascii="Times New Roman Regular" w:hAnsi="Times New Roman Regular" w:cs="Times New Roman Regular"/>
          <w:color w:val="0000FF"/>
        </w:rPr>
        <w:t>. Prior to LOOCV, hyperparameter tuning was conducted using 5-fold Cross-Validation on the full dataset to identify optimal model structures (e.g., tree depth, number of estimators). The grid search ranges included: n_estimators [100, 150], max_depth [5, 6, 7], min_samples_split [4, 6], and max_features ['sqrt']. The best parameters identified were then fixed for the LOOCV evaluation.</w:t>
      </w:r>
      <w:r>
        <w:rPr>
          <w:rFonts w:hint="eastAsia"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color w:val="0000FF"/>
        </w:rPr>
        <w:t>The LOOCV process is: each time, one sample is left out as the validation set, and the remaining n-1</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samples are used for training. After repeating nn times, the average of the evaluation indicators is taken as the final result</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Ren et al., 2021)</w:t>
      </w:r>
      <w:r>
        <w:rPr>
          <w:rFonts w:hint="eastAsia" w:ascii="Times New Roman Regular" w:hAnsi="Times New Roman Regular" w:cs="Times New Roman Regular"/>
          <w:color w:val="0000FF"/>
        </w:rPr>
        <w:t>.</w:t>
      </w:r>
      <w:r>
        <w:rPr>
          <w:rFonts w:hint="eastAsia" w:ascii="Times New Roman Regular" w:hAnsi="Times New Roman Regular" w:cs="Times New Roman Regular"/>
          <w:color w:val="0000FF"/>
          <w:lang w:val="en-US" w:eastAsia="zh-CN"/>
        </w:rPr>
        <w:t xml:space="preserve"> Additionally, to assess prediction uncertainty, 90% Prediction Intervals (PI) were estimated using quantile regression forests during the LOOCV process. Coverage probability was calculated to validate the reliability of the uncertainty estimates. To quantify the uncertainty of model performance estimates derived from LOOCV, we implemented Bootstrap resampling (1000 iterations) to calculate 95% confidence intervals (CI) for all evaluation metrics. This approach addresses the limitation that LOOCV alone cannot provide direct confidence intervals for R</w:t>
      </w:r>
      <w:r>
        <w:rPr>
          <w:rFonts w:hint="default" w:ascii="Times New Roman Regular" w:hAnsi="Times New Roman Regular" w:cs="Times New Roman Regular"/>
          <w:color w:val="0000FF"/>
          <w:vertAlign w:val="superscript"/>
          <w:lang w:val="en-US" w:eastAsia="zh-CN"/>
        </w:rPr>
        <w:t>2</w:t>
      </w:r>
      <w:r>
        <w:rPr>
          <w:rFonts w:hint="eastAsia" w:ascii="Times New Roman Regular" w:hAnsi="Times New Roman Regular" w:cs="Times New Roman Regular"/>
          <w:color w:val="0000FF"/>
          <w:lang w:val="en-US" w:eastAsia="zh-CN"/>
        </w:rPr>
        <w:t xml:space="preserve"> estimates due to the single-sample validation nature. By repeatedly resampling the prediction residuals with replacement and recalculating metrics, we obtained robust uncertainty bounds that reflect the stability of model performance across different data realizations. The Bootstrap 95% CI is reported alongside LOOCV metrics in all performance tables (Table S1-S6).</w:t>
      </w:r>
    </w:p>
    <w:p w14:paraId="2624B723">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The coefficient of determination</w:t>
      </w:r>
      <w:r>
        <w:rPr>
          <w:rFonts w:ascii="Times New Roman Regular" w:hAnsi="Times New Roman Regular" w:cs="Times New Roman Regular"/>
          <w:color w:val="0000FF"/>
        </w:rPr>
        <w:t xml:space="preserve"> R</w:t>
      </w:r>
      <w:r>
        <w:rPr>
          <w:rFonts w:ascii="Times New Roman Regular" w:hAnsi="Times New Roman Regular" w:cs="Times New Roman Regular"/>
          <w:color w:val="0000FF"/>
          <w:vertAlign w:val="superscript"/>
        </w:rPr>
        <w:t>2</w:t>
      </w:r>
      <w:r>
        <w:rPr>
          <w:rFonts w:hint="eastAsia" w:ascii="Times New Roman Regular" w:hAnsi="Times New Roman Regular" w:cs="Times New Roman Regular"/>
          <w:color w:val="0000FF"/>
        </w:rPr>
        <w:t>, root mean square error (RMSE), and mean absolute error (MAE) are used to quantitatively describe the model accuracy and error characteristics</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Gul et al., 2025)</w:t>
      </w:r>
      <w:r>
        <w:rPr>
          <w:rFonts w:hint="eastAsia" w:ascii="Times New Roman Regular" w:hAnsi="Times New Roman Regular" w:cs="Times New Roman Regular"/>
          <w:color w:val="0000FF"/>
        </w:rPr>
        <w:t>:</w:t>
      </w:r>
    </w:p>
    <w:p w14:paraId="69927881">
      <w:pPr>
        <w:spacing w:line="300" w:lineRule="auto"/>
        <w:jc w:val="right"/>
        <w:rPr>
          <w:rFonts w:ascii="Times New Roman Regular" w:hAnsi="Times New Roman Regular" w:cs="Times New Roman Regular"/>
          <w:color w:val="0000FF"/>
          <w:sz w:val="18"/>
          <w:szCs w:val="18"/>
        </w:rPr>
      </w:pPr>
      <m:oMath>
        <m:sSup>
          <m:sSupPr>
            <m:ctrlPr>
              <w:rPr>
                <w:rFonts w:ascii="DejaVu Math TeX Gyre" w:hAnsi="DejaVu Math TeX Gyre" w:cs="Times New Roman Regular"/>
                <w:i/>
                <w:iCs/>
                <w:color w:val="0000FF"/>
                <w:sz w:val="18"/>
                <w:szCs w:val="18"/>
              </w:rPr>
            </m:ctrlPr>
          </m:sSupPr>
          <m:e>
            <m:r>
              <m:rPr>
                <m:nor/>
              </m:rPr>
              <w:rPr>
                <w:rFonts w:ascii="DejaVu Math TeX Gyre" w:hAnsi="DejaVu Math TeX Gyre" w:cs="Times New Roman Regular"/>
                <w:b w:val="0"/>
                <w:i/>
                <w:iCs/>
                <w:color w:val="0000FF"/>
                <w:sz w:val="18"/>
                <w:szCs w:val="18"/>
              </w:rPr>
              <m:t>R</m:t>
            </m:r>
            <m:ctrlPr>
              <w:rPr>
                <w:rFonts w:ascii="DejaVu Math TeX Gyre" w:hAnsi="DejaVu Math TeX Gyre" w:cs="Times New Roman Regular"/>
                <w:i/>
                <w:iCs/>
                <w:color w:val="0000FF"/>
                <w:sz w:val="18"/>
                <w:szCs w:val="18"/>
              </w:rPr>
            </m:ctrlPr>
          </m:e>
          <m:sup>
            <m:r>
              <m:rPr>
                <m:nor/>
              </m:rPr>
              <w:rPr>
                <w:rFonts w:ascii="DejaVu Math TeX Gyre" w:hAnsi="DejaVu Math TeX Gyre" w:cs="Times New Roman Regular"/>
                <w:b w:val="0"/>
                <w:i/>
                <w:iCs/>
                <w:color w:val="0000FF"/>
                <w:sz w:val="18"/>
                <w:szCs w:val="18"/>
              </w:rPr>
              <m:t>2</m:t>
            </m:r>
            <m:ctrlPr>
              <w:rPr>
                <w:rFonts w:ascii="DejaVu Math TeX Gyre" w:hAnsi="DejaVu Math TeX Gyre" w:cs="Times New Roman Regular"/>
                <w:i/>
                <w:iCs/>
                <w:color w:val="0000FF"/>
                <w:sz w:val="18"/>
                <w:szCs w:val="18"/>
              </w:rPr>
            </m:ctrlPr>
          </m:sup>
        </m:sSup>
        <m:r>
          <m:rPr>
            <m:nor/>
          </m:rPr>
          <w:rPr>
            <w:rFonts w:ascii="DejaVu Math TeX Gyre" w:hAnsi="DejaVu Math TeX Gyre" w:cs="Times New Roman Regular"/>
            <w:b w:val="0"/>
            <w:i/>
            <w:iCs/>
            <w:color w:val="0000FF"/>
            <w:sz w:val="18"/>
            <w:szCs w:val="18"/>
          </w:rPr>
          <m:t>=1-</m:t>
        </m:r>
        <m:f>
          <m:fPr>
            <m:ctrlPr>
              <w:rPr>
                <w:rFonts w:ascii="DejaVu Math TeX Gyre" w:hAnsi="DejaVu Math TeX Gyre" w:cs="Times New Roman Regular"/>
                <w:i/>
                <w:iCs/>
                <w:color w:val="0000FF"/>
                <w:sz w:val="18"/>
                <w:szCs w:val="18"/>
              </w:rPr>
            </m:ctrlPr>
          </m:fPr>
          <m:num>
            <m:nary>
              <m:naryPr>
                <m:chr m:val="∑"/>
                <m:limLoc m:val="undOvr"/>
                <m:ctrlPr>
                  <w:rPr>
                    <w:rFonts w:ascii="DejaVu Math TeX Gyre" w:hAnsi="DejaVu Math TeX Gyre" w:cs="Times New Roman Regular"/>
                    <w:i/>
                    <w:iCs/>
                    <w:color w:val="0000FF"/>
                    <w:sz w:val="18"/>
                    <w:szCs w:val="18"/>
                  </w:rPr>
                </m:ctrlPr>
              </m:naryPr>
              <m:sub>
                <m:r>
                  <m:rPr>
                    <m:nor/>
                  </m:rPr>
                  <w:rPr>
                    <w:rFonts w:ascii="DejaVu Math TeX Gyre" w:hAnsi="DejaVu Math TeX Gyre" w:cs="Times New Roman Regular"/>
                    <w:b w:val="0"/>
                    <w:i/>
                    <w:iCs/>
                    <w:color w:val="0000FF"/>
                    <w:sz w:val="18"/>
                    <w:szCs w:val="18"/>
                  </w:rPr>
                  <m:t>i=1</m:t>
                </m:r>
                <m:ctrlPr>
                  <w:rPr>
                    <w:rFonts w:ascii="DejaVu Math TeX Gyre" w:hAnsi="DejaVu Math TeX Gyre" w:cs="Times New Roman Regular"/>
                    <w:i/>
                    <w:iCs/>
                    <w:color w:val="0000FF"/>
                    <w:sz w:val="18"/>
                    <w:szCs w:val="18"/>
                  </w:rPr>
                </m:ctrlPr>
              </m:sub>
              <m:sup>
                <m:r>
                  <m:rPr>
                    <m:nor/>
                  </m:rPr>
                  <w:rPr>
                    <w:rFonts w:ascii="DejaVu Math TeX Gyre" w:hAnsi="DejaVu Math TeX Gyre" w:cs="Times New Roman Regular"/>
                    <w:b w:val="0"/>
                    <w:i/>
                    <w:iCs/>
                    <w:color w:val="0000FF"/>
                    <w:sz w:val="18"/>
                    <w:szCs w:val="18"/>
                  </w:rPr>
                  <m:t>n</m:t>
                </m:r>
                <m:ctrlPr>
                  <w:rPr>
                    <w:rFonts w:ascii="DejaVu Math TeX Gyre" w:hAnsi="DejaVu Math TeX Gyre" w:cs="Times New Roman Regular"/>
                    <w:i/>
                    <w:iCs/>
                    <w:color w:val="0000FF"/>
                    <w:sz w:val="18"/>
                    <w:szCs w:val="18"/>
                  </w:rPr>
                </m:ctrlPr>
              </m:sup>
              <m:e>
                <m:r>
                  <m:rPr>
                    <m:nor/>
                  </m:rPr>
                  <w:rPr>
                    <w:rFonts w:ascii="DejaVu Math TeX Gyre" w:hAnsi="DejaVu Math TeX Gyre" w:cs="Times New Roman Regular"/>
                    <w:b w:val="0"/>
                    <w:i/>
                    <w:iCs/>
                    <w:color w:val="0000FF"/>
                    <w:sz w:val="18"/>
                    <w:szCs w:val="18"/>
                  </w:rPr>
                  <m:t>(</m:t>
                </m:r>
                <m:ctrlPr>
                  <w:rPr>
                    <w:rFonts w:ascii="DejaVu Math TeX Gyre" w:hAnsi="DejaVu Math TeX Gyre" w:cs="Times New Roman Regular"/>
                    <w:i/>
                    <w:iCs/>
                    <w:color w:val="0000FF"/>
                    <w:sz w:val="18"/>
                    <w:szCs w:val="18"/>
                  </w:rPr>
                </m:ctrlPr>
              </m:e>
            </m:nary>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b w:val="0"/>
                    <w:i/>
                    <w:iCs/>
                    <w:color w:val="0000FF"/>
                    <w:sz w:val="18"/>
                    <w:szCs w:val="18"/>
                  </w:rPr>
                  <m:t>y</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i</m:t>
                </m:r>
                <m:ctrlPr>
                  <w:rPr>
                    <w:rFonts w:ascii="DejaVu Math TeX Gyre" w:hAnsi="DejaVu Math TeX Gyre" w:cs="Times New Roman Regular"/>
                    <w:i/>
                    <w:iCs/>
                    <w:color w:val="0000FF"/>
                    <w:sz w:val="18"/>
                    <w:szCs w:val="18"/>
                  </w:rPr>
                </m:ctrlPr>
              </m:sub>
            </m:sSub>
            <m:r>
              <m:rPr>
                <m:nor/>
              </m:rPr>
              <w:rPr>
                <w:rFonts w:ascii="DejaVu Math TeX Gyre" w:hAnsi="DejaVu Math TeX Gyre" w:cs="Times New Roman Regular"/>
                <w:b w:val="0"/>
                <w:i/>
                <w:iCs/>
                <w:color w:val="0000FF"/>
                <w:sz w:val="18"/>
                <w:szCs w:val="18"/>
              </w:rPr>
              <m:t>-</m:t>
            </m:r>
            <m:sSub>
              <m:sSubPr>
                <m:ctrlPr>
                  <w:rPr>
                    <w:rFonts w:ascii="DejaVu Math TeX Gyre" w:hAnsi="DejaVu Math TeX Gyre" w:cs="Times New Roman Regular"/>
                    <w:i/>
                    <w:iCs/>
                    <w:color w:val="0000FF"/>
                    <w:sz w:val="18"/>
                    <w:szCs w:val="18"/>
                  </w:rPr>
                </m:ctrlPr>
              </m:sSubPr>
              <m:e>
                <m:acc>
                  <m:accPr>
                    <m:ctrlPr>
                      <w:rPr>
                        <w:rFonts w:ascii="DejaVu Math TeX Gyre" w:hAnsi="DejaVu Math TeX Gyre" w:cs="Times New Roman Regular"/>
                        <w:i/>
                        <w:iCs/>
                        <w:color w:val="0000FF"/>
                        <w:sz w:val="18"/>
                        <w:szCs w:val="18"/>
                      </w:rPr>
                    </m:ctrlPr>
                  </m:accPr>
                  <m:e>
                    <m:r>
                      <m:rPr>
                        <m:nor/>
                      </m:rPr>
                      <w:rPr>
                        <w:rFonts w:ascii="DejaVu Math TeX Gyre" w:hAnsi="DejaVu Math TeX Gyre" w:cs="Times New Roman Regular"/>
                        <w:b w:val="0"/>
                        <w:i/>
                        <w:iCs/>
                        <w:color w:val="0000FF"/>
                        <w:sz w:val="18"/>
                        <w:szCs w:val="18"/>
                      </w:rPr>
                      <m:t>y</m:t>
                    </m:r>
                    <m:ctrlPr>
                      <w:rPr>
                        <w:rFonts w:ascii="DejaVu Math TeX Gyre" w:hAnsi="DejaVu Math TeX Gyre" w:cs="Times New Roman Regular"/>
                        <w:i/>
                        <w:iCs/>
                        <w:color w:val="0000FF"/>
                        <w:sz w:val="18"/>
                        <w:szCs w:val="18"/>
                      </w:rPr>
                    </m:ctrlPr>
                  </m:e>
                </m:acc>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i</m:t>
                </m:r>
                <m:ctrlPr>
                  <w:rPr>
                    <w:rFonts w:ascii="DejaVu Math TeX Gyre" w:hAnsi="DejaVu Math TeX Gyre" w:cs="Times New Roman Regular"/>
                    <w:i/>
                    <w:iCs/>
                    <w:color w:val="0000FF"/>
                    <w:sz w:val="18"/>
                    <w:szCs w:val="18"/>
                  </w:rPr>
                </m:ctrlPr>
              </m:sub>
            </m:sSub>
            <m:sSup>
              <m:sSupPr>
                <m:ctrlPr>
                  <w:rPr>
                    <w:rFonts w:ascii="DejaVu Math TeX Gyre" w:hAnsi="DejaVu Math TeX Gyre" w:cs="Times New Roman Regular"/>
                    <w:i/>
                    <w:iCs/>
                    <w:color w:val="0000FF"/>
                    <w:sz w:val="18"/>
                    <w:szCs w:val="18"/>
                  </w:rPr>
                </m:ctrlPr>
              </m:sSupPr>
              <m:e>
                <m:r>
                  <m:rPr>
                    <m:nor/>
                  </m:rPr>
                  <w:rPr>
                    <w:rFonts w:ascii="DejaVu Math TeX Gyre" w:hAnsi="DejaVu Math TeX Gyre" w:cs="Times New Roman Regular"/>
                    <w:b w:val="0"/>
                    <w:i/>
                    <w:iCs/>
                    <w:color w:val="0000FF"/>
                    <w:sz w:val="18"/>
                    <w:szCs w:val="18"/>
                  </w:rPr>
                  <m:t>)</m:t>
                </m:r>
                <m:ctrlPr>
                  <w:rPr>
                    <w:rFonts w:ascii="DejaVu Math TeX Gyre" w:hAnsi="DejaVu Math TeX Gyre" w:cs="Times New Roman Regular"/>
                    <w:i/>
                    <w:iCs/>
                    <w:color w:val="0000FF"/>
                    <w:sz w:val="18"/>
                    <w:szCs w:val="18"/>
                  </w:rPr>
                </m:ctrlPr>
              </m:e>
              <m:sup>
                <m:r>
                  <m:rPr>
                    <m:nor/>
                  </m:rPr>
                  <w:rPr>
                    <w:rFonts w:ascii="DejaVu Math TeX Gyre" w:hAnsi="DejaVu Math TeX Gyre" w:cs="Times New Roman Regular"/>
                    <w:b w:val="0"/>
                    <w:i/>
                    <w:iCs/>
                    <w:color w:val="0000FF"/>
                    <w:sz w:val="18"/>
                    <w:szCs w:val="18"/>
                  </w:rPr>
                  <m:t>2</m:t>
                </m:r>
                <m:ctrlPr>
                  <w:rPr>
                    <w:rFonts w:ascii="DejaVu Math TeX Gyre" w:hAnsi="DejaVu Math TeX Gyre" w:cs="Times New Roman Regular"/>
                    <w:i/>
                    <w:iCs/>
                    <w:color w:val="0000FF"/>
                    <w:sz w:val="18"/>
                    <w:szCs w:val="18"/>
                  </w:rPr>
                </m:ctrlPr>
              </m:sup>
            </m:sSup>
            <m:ctrlPr>
              <w:rPr>
                <w:rFonts w:ascii="DejaVu Math TeX Gyre" w:hAnsi="DejaVu Math TeX Gyre" w:cs="Times New Roman Regular"/>
                <w:i/>
                <w:iCs/>
                <w:color w:val="0000FF"/>
                <w:sz w:val="18"/>
                <w:szCs w:val="18"/>
              </w:rPr>
            </m:ctrlPr>
          </m:num>
          <m:den>
            <m:nary>
              <m:naryPr>
                <m:chr m:val="∑"/>
                <m:limLoc m:val="undOvr"/>
                <m:ctrlPr>
                  <w:rPr>
                    <w:rFonts w:ascii="DejaVu Math TeX Gyre" w:hAnsi="DejaVu Math TeX Gyre" w:cs="Times New Roman Regular"/>
                    <w:i/>
                    <w:iCs/>
                    <w:color w:val="0000FF"/>
                    <w:sz w:val="18"/>
                    <w:szCs w:val="18"/>
                  </w:rPr>
                </m:ctrlPr>
              </m:naryPr>
              <m:sub>
                <m:r>
                  <m:rPr>
                    <m:nor/>
                  </m:rPr>
                  <w:rPr>
                    <w:rFonts w:ascii="DejaVu Math TeX Gyre" w:hAnsi="DejaVu Math TeX Gyre" w:cs="Times New Roman Regular"/>
                    <w:b w:val="0"/>
                    <w:i/>
                    <w:iCs/>
                    <w:color w:val="0000FF"/>
                    <w:sz w:val="18"/>
                    <w:szCs w:val="18"/>
                  </w:rPr>
                  <m:t>i=1</m:t>
                </m:r>
                <m:ctrlPr>
                  <w:rPr>
                    <w:rFonts w:ascii="DejaVu Math TeX Gyre" w:hAnsi="DejaVu Math TeX Gyre" w:cs="Times New Roman Regular"/>
                    <w:i/>
                    <w:iCs/>
                    <w:color w:val="0000FF"/>
                    <w:sz w:val="18"/>
                    <w:szCs w:val="18"/>
                  </w:rPr>
                </m:ctrlPr>
              </m:sub>
              <m:sup>
                <m:r>
                  <m:rPr>
                    <m:nor/>
                  </m:rPr>
                  <w:rPr>
                    <w:rFonts w:ascii="DejaVu Math TeX Gyre" w:hAnsi="DejaVu Math TeX Gyre" w:cs="Times New Roman Regular"/>
                    <w:b w:val="0"/>
                    <w:i/>
                    <w:iCs/>
                    <w:color w:val="0000FF"/>
                    <w:sz w:val="18"/>
                    <w:szCs w:val="18"/>
                  </w:rPr>
                  <m:t>n</m:t>
                </m:r>
                <m:ctrlPr>
                  <w:rPr>
                    <w:rFonts w:ascii="DejaVu Math TeX Gyre" w:hAnsi="DejaVu Math TeX Gyre" w:cs="Times New Roman Regular"/>
                    <w:i/>
                    <w:iCs/>
                    <w:color w:val="0000FF"/>
                    <w:sz w:val="18"/>
                    <w:szCs w:val="18"/>
                  </w:rPr>
                </m:ctrlPr>
              </m:sup>
              <m:e>
                <m:r>
                  <m:rPr>
                    <m:nor/>
                  </m:rPr>
                  <w:rPr>
                    <w:rFonts w:ascii="DejaVu Math TeX Gyre" w:hAnsi="DejaVu Math TeX Gyre" w:cs="Times New Roman Regular"/>
                    <w:b w:val="0"/>
                    <w:i/>
                    <w:iCs/>
                    <w:color w:val="0000FF"/>
                    <w:sz w:val="18"/>
                    <w:szCs w:val="18"/>
                  </w:rPr>
                  <m:t>(</m:t>
                </m:r>
                <m:ctrlPr>
                  <w:rPr>
                    <w:rFonts w:ascii="DejaVu Math TeX Gyre" w:hAnsi="DejaVu Math TeX Gyre" w:cs="Times New Roman Regular"/>
                    <w:i/>
                    <w:iCs/>
                    <w:color w:val="0000FF"/>
                    <w:sz w:val="18"/>
                    <w:szCs w:val="18"/>
                  </w:rPr>
                </m:ctrlPr>
              </m:e>
            </m:nary>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b w:val="0"/>
                    <w:i/>
                    <w:iCs/>
                    <w:color w:val="0000FF"/>
                    <w:sz w:val="18"/>
                    <w:szCs w:val="18"/>
                  </w:rPr>
                  <m:t>y</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i</m:t>
                </m:r>
                <m:ctrlPr>
                  <w:rPr>
                    <w:rFonts w:ascii="DejaVu Math TeX Gyre" w:hAnsi="DejaVu Math TeX Gyre" w:cs="Times New Roman Regular"/>
                    <w:i/>
                    <w:iCs/>
                    <w:color w:val="0000FF"/>
                    <w:sz w:val="18"/>
                    <w:szCs w:val="18"/>
                  </w:rPr>
                </m:ctrlPr>
              </m:sub>
            </m:sSub>
            <m:r>
              <m:rPr>
                <m:nor/>
              </m:rPr>
              <w:rPr>
                <w:rFonts w:ascii="DejaVu Math TeX Gyre" w:hAnsi="DejaVu Math TeX Gyre" w:cs="Times New Roman Regular"/>
                <w:b w:val="0"/>
                <w:i/>
                <w:iCs/>
                <w:color w:val="0000FF"/>
                <w:sz w:val="18"/>
                <w:szCs w:val="18"/>
              </w:rPr>
              <m:t>-</m:t>
            </m:r>
            <m:acc>
              <m:accPr>
                <m:chr m:val="̄"/>
                <m:ctrlPr>
                  <w:rPr>
                    <w:rFonts w:ascii="DejaVu Math TeX Gyre" w:hAnsi="DejaVu Math TeX Gyre" w:cs="Times New Roman Regular"/>
                    <w:i/>
                    <w:iCs/>
                    <w:color w:val="0000FF"/>
                    <w:sz w:val="18"/>
                    <w:szCs w:val="18"/>
                  </w:rPr>
                </m:ctrlPr>
              </m:accPr>
              <m:e>
                <m:r>
                  <m:rPr>
                    <m:nor/>
                  </m:rPr>
                  <w:rPr>
                    <w:rFonts w:ascii="DejaVu Math TeX Gyre" w:hAnsi="DejaVu Math TeX Gyre" w:cs="Times New Roman Regular"/>
                    <w:b w:val="0"/>
                    <w:i/>
                    <w:iCs/>
                    <w:color w:val="0000FF"/>
                    <w:sz w:val="18"/>
                    <w:szCs w:val="18"/>
                  </w:rPr>
                  <m:t>y</m:t>
                </m:r>
                <m:ctrlPr>
                  <w:rPr>
                    <w:rFonts w:ascii="DejaVu Math TeX Gyre" w:hAnsi="DejaVu Math TeX Gyre" w:cs="Times New Roman Regular"/>
                    <w:i/>
                    <w:iCs/>
                    <w:color w:val="0000FF"/>
                    <w:sz w:val="18"/>
                    <w:szCs w:val="18"/>
                  </w:rPr>
                </m:ctrlPr>
              </m:e>
            </m:acc>
            <m:sSup>
              <m:sSupPr>
                <m:ctrlPr>
                  <w:rPr>
                    <w:rFonts w:ascii="DejaVu Math TeX Gyre" w:hAnsi="DejaVu Math TeX Gyre" w:cs="Times New Roman Regular"/>
                    <w:i/>
                    <w:iCs/>
                    <w:color w:val="0000FF"/>
                    <w:sz w:val="18"/>
                    <w:szCs w:val="18"/>
                  </w:rPr>
                </m:ctrlPr>
              </m:sSupPr>
              <m:e>
                <m:r>
                  <m:rPr>
                    <m:nor/>
                  </m:rPr>
                  <w:rPr>
                    <w:rFonts w:ascii="DejaVu Math TeX Gyre" w:hAnsi="DejaVu Math TeX Gyre" w:cs="Times New Roman Regular"/>
                    <w:b w:val="0"/>
                    <w:i/>
                    <w:iCs/>
                    <w:color w:val="0000FF"/>
                    <w:sz w:val="18"/>
                    <w:szCs w:val="18"/>
                  </w:rPr>
                  <m:t>)</m:t>
                </m:r>
                <m:ctrlPr>
                  <w:rPr>
                    <w:rFonts w:ascii="DejaVu Math TeX Gyre" w:hAnsi="DejaVu Math TeX Gyre" w:cs="Times New Roman Regular"/>
                    <w:i/>
                    <w:iCs/>
                    <w:color w:val="0000FF"/>
                    <w:sz w:val="18"/>
                    <w:szCs w:val="18"/>
                  </w:rPr>
                </m:ctrlPr>
              </m:e>
              <m:sup>
                <m:r>
                  <m:rPr>
                    <m:nor/>
                  </m:rPr>
                  <w:rPr>
                    <w:rFonts w:ascii="DejaVu Math TeX Gyre" w:hAnsi="DejaVu Math TeX Gyre" w:cs="Times New Roman Regular"/>
                    <w:b w:val="0"/>
                    <w:i/>
                    <w:iCs/>
                    <w:color w:val="0000FF"/>
                    <w:sz w:val="18"/>
                    <w:szCs w:val="18"/>
                  </w:rPr>
                  <m:t>2</m:t>
                </m:r>
                <m:ctrlPr>
                  <w:rPr>
                    <w:rFonts w:ascii="DejaVu Math TeX Gyre" w:hAnsi="DejaVu Math TeX Gyre" w:cs="Times New Roman Regular"/>
                    <w:i/>
                    <w:iCs/>
                    <w:color w:val="0000FF"/>
                    <w:sz w:val="18"/>
                    <w:szCs w:val="18"/>
                  </w:rPr>
                </m:ctrlPr>
              </m:sup>
            </m:sSup>
            <m:ctrlPr>
              <w:rPr>
                <w:rFonts w:ascii="DejaVu Math TeX Gyre" w:hAnsi="DejaVu Math TeX Gyre" w:cs="Times New Roman Regular"/>
                <w:i/>
                <w:iCs/>
                <w:color w:val="0000FF"/>
                <w:sz w:val="18"/>
                <w:szCs w:val="18"/>
              </w:rPr>
            </m:ctrlPr>
          </m:den>
        </m:f>
      </m:oMath>
      <w:r>
        <w:rPr>
          <w:rFonts w:ascii="Times New Roman Regular" w:hAnsi="Times New Roman Regular" w:cs="Times New Roman Regular"/>
          <w:color w:val="0000FF"/>
          <w:sz w:val="18"/>
          <w:szCs w:val="18"/>
        </w:rPr>
        <w:t xml:space="preserve"> </w:t>
      </w:r>
      <w:r>
        <w:rPr>
          <w:rFonts w:hint="eastAsia" w:ascii="Times New Roman Regular" w:hAnsi="Times New Roman Regular" w:cs="Times New Roman Regular"/>
          <w:color w:val="0000FF"/>
          <w:sz w:val="18"/>
          <w:szCs w:val="18"/>
        </w:rPr>
        <w:t xml:space="preserve">                                    </w:t>
      </w:r>
      <w:r>
        <w:rPr>
          <w:rFonts w:ascii="Times New Roman Regular" w:hAnsi="Times New Roman Regular" w:cs="Times New Roman Regular"/>
          <w:color w:val="0000FF"/>
          <w:sz w:val="18"/>
          <w:szCs w:val="18"/>
        </w:rPr>
        <w:t>(1</w:t>
      </w:r>
      <w:r>
        <w:rPr>
          <w:rFonts w:hint="default" w:ascii="Times New Roman Regular" w:hAnsi="Times New Roman Regular" w:cs="Times New Roman Regular"/>
          <w:color w:val="0000FF"/>
          <w:sz w:val="18"/>
          <w:szCs w:val="18"/>
          <w:lang w:val="en-US"/>
        </w:rPr>
        <w:t>8</w:t>
      </w:r>
      <w:r>
        <w:rPr>
          <w:rFonts w:ascii="Times New Roman Regular" w:hAnsi="Times New Roman Regular" w:cs="Times New Roman Regular"/>
          <w:color w:val="0000FF"/>
          <w:sz w:val="18"/>
          <w:szCs w:val="18"/>
        </w:rPr>
        <w:t>)</w:t>
      </w:r>
    </w:p>
    <w:p w14:paraId="3325CEF2">
      <w:pPr>
        <w:spacing w:line="300" w:lineRule="auto"/>
        <w:jc w:val="right"/>
        <w:rPr>
          <w:rFonts w:ascii="Times New Roman Regular" w:hAnsi="Times New Roman Regular" w:cs="Times New Roman Regular"/>
          <w:color w:val="0000FF"/>
          <w:sz w:val="18"/>
          <w:szCs w:val="18"/>
        </w:rPr>
      </w:pPr>
      <m:oMath>
        <m:r>
          <m:rPr>
            <m:nor/>
          </m:rPr>
          <w:rPr>
            <w:rFonts w:ascii="DejaVu Math TeX Gyre" w:hAnsi="DejaVu Math TeX Gyre" w:cs="Times New Roman Regular"/>
            <w:b w:val="0"/>
            <w:i/>
            <w:iCs/>
            <w:color w:val="0000FF"/>
            <w:sz w:val="18"/>
            <w:szCs w:val="18"/>
          </w:rPr>
          <m:t>RMSE=</m:t>
        </m:r>
        <m:rad>
          <m:radPr>
            <m:degHide m:val="1"/>
            <m:ctrlPr>
              <w:rPr>
                <w:rFonts w:ascii="DejaVu Math TeX Gyre" w:hAnsi="DejaVu Math TeX Gyre" w:cs="Times New Roman Regular"/>
                <w:i/>
                <w:iCs/>
                <w:color w:val="0000FF"/>
                <w:sz w:val="18"/>
                <w:szCs w:val="18"/>
              </w:rPr>
            </m:ctrlPr>
          </m:radPr>
          <m:deg>
            <m:ctrlPr>
              <w:rPr>
                <w:rFonts w:ascii="DejaVu Math TeX Gyre" w:hAnsi="DejaVu Math TeX Gyre" w:cs="Times New Roman Regular"/>
                <w:i/>
                <w:iCs/>
                <w:color w:val="0000FF"/>
                <w:sz w:val="18"/>
                <w:szCs w:val="18"/>
              </w:rPr>
            </m:ctrlPr>
          </m:deg>
          <m:e>
            <m:f>
              <m:fPr>
                <m:ctrlPr>
                  <w:rPr>
                    <w:rFonts w:ascii="DejaVu Math TeX Gyre" w:hAnsi="DejaVu Math TeX Gyre" w:cs="Times New Roman Regular"/>
                    <w:i/>
                    <w:iCs/>
                    <w:color w:val="0000FF"/>
                    <w:sz w:val="18"/>
                    <w:szCs w:val="18"/>
                  </w:rPr>
                </m:ctrlPr>
              </m:fPr>
              <m:num>
                <m:r>
                  <m:rPr>
                    <m:nor/>
                  </m:rPr>
                  <w:rPr>
                    <w:rFonts w:ascii="DejaVu Math TeX Gyre" w:hAnsi="DejaVu Math TeX Gyre" w:cs="Times New Roman Regular"/>
                    <w:b w:val="0"/>
                    <w:i/>
                    <w:iCs/>
                    <w:color w:val="0000FF"/>
                    <w:sz w:val="18"/>
                    <w:szCs w:val="18"/>
                  </w:rPr>
                  <m:t>1</m:t>
                </m:r>
                <m:ctrlPr>
                  <w:rPr>
                    <w:rFonts w:ascii="DejaVu Math TeX Gyre" w:hAnsi="DejaVu Math TeX Gyre" w:cs="Times New Roman Regular"/>
                    <w:i/>
                    <w:iCs/>
                    <w:color w:val="0000FF"/>
                    <w:sz w:val="18"/>
                    <w:szCs w:val="18"/>
                  </w:rPr>
                </m:ctrlPr>
              </m:num>
              <m:den>
                <m:r>
                  <m:rPr>
                    <m:nor/>
                  </m:rPr>
                  <w:rPr>
                    <w:rFonts w:ascii="DejaVu Math TeX Gyre" w:hAnsi="DejaVu Math TeX Gyre" w:cs="Times New Roman Regular"/>
                    <w:b w:val="0"/>
                    <w:i/>
                    <w:iCs/>
                    <w:color w:val="0000FF"/>
                    <w:sz w:val="18"/>
                    <w:szCs w:val="18"/>
                  </w:rPr>
                  <m:t>n</m:t>
                </m:r>
                <m:ctrlPr>
                  <w:rPr>
                    <w:rFonts w:ascii="DejaVu Math TeX Gyre" w:hAnsi="DejaVu Math TeX Gyre" w:cs="Times New Roman Regular"/>
                    <w:i/>
                    <w:iCs/>
                    <w:color w:val="0000FF"/>
                    <w:sz w:val="18"/>
                    <w:szCs w:val="18"/>
                  </w:rPr>
                </m:ctrlPr>
              </m:den>
            </m:f>
            <m:nary>
              <m:naryPr>
                <m:chr m:val="∑"/>
                <m:limLoc m:val="undOvr"/>
                <m:ctrlPr>
                  <w:rPr>
                    <w:rFonts w:ascii="DejaVu Math TeX Gyre" w:hAnsi="DejaVu Math TeX Gyre" w:cs="Times New Roman Regular"/>
                    <w:i/>
                    <w:iCs/>
                    <w:color w:val="0000FF"/>
                    <w:sz w:val="18"/>
                    <w:szCs w:val="18"/>
                  </w:rPr>
                </m:ctrlPr>
              </m:naryPr>
              <m:sub>
                <m:r>
                  <m:rPr>
                    <m:nor/>
                  </m:rPr>
                  <w:rPr>
                    <w:rFonts w:ascii="DejaVu Math TeX Gyre" w:hAnsi="DejaVu Math TeX Gyre" w:cs="Times New Roman Regular"/>
                    <w:b w:val="0"/>
                    <w:i/>
                    <w:iCs/>
                    <w:color w:val="0000FF"/>
                    <w:sz w:val="18"/>
                    <w:szCs w:val="18"/>
                  </w:rPr>
                  <m:t>i=1</m:t>
                </m:r>
                <m:ctrlPr>
                  <w:rPr>
                    <w:rFonts w:ascii="DejaVu Math TeX Gyre" w:hAnsi="DejaVu Math TeX Gyre" w:cs="Times New Roman Regular"/>
                    <w:i/>
                    <w:iCs/>
                    <w:color w:val="0000FF"/>
                    <w:sz w:val="18"/>
                    <w:szCs w:val="18"/>
                  </w:rPr>
                </m:ctrlPr>
              </m:sub>
              <m:sup>
                <m:r>
                  <m:rPr>
                    <m:nor/>
                  </m:rPr>
                  <w:rPr>
                    <w:rFonts w:ascii="DejaVu Math TeX Gyre" w:hAnsi="DejaVu Math TeX Gyre" w:cs="Times New Roman Regular"/>
                    <w:b w:val="0"/>
                    <w:i/>
                    <w:iCs/>
                    <w:color w:val="0000FF"/>
                    <w:sz w:val="18"/>
                    <w:szCs w:val="18"/>
                  </w:rPr>
                  <m:t>n</m:t>
                </m:r>
                <m:ctrlPr>
                  <w:rPr>
                    <w:rFonts w:ascii="DejaVu Math TeX Gyre" w:hAnsi="DejaVu Math TeX Gyre" w:cs="Times New Roman Regular"/>
                    <w:i/>
                    <w:iCs/>
                    <w:color w:val="0000FF"/>
                    <w:sz w:val="18"/>
                    <w:szCs w:val="18"/>
                  </w:rPr>
                </m:ctrlPr>
              </m:sup>
              <m:e>
                <m:r>
                  <m:rPr>
                    <m:nor/>
                  </m:rPr>
                  <w:rPr>
                    <w:rFonts w:ascii="DejaVu Math TeX Gyre" w:hAnsi="DejaVu Math TeX Gyre" w:cs="Times New Roman Regular"/>
                    <w:b w:val="0"/>
                    <w:i/>
                    <w:iCs/>
                    <w:color w:val="0000FF"/>
                    <w:sz w:val="18"/>
                    <w:szCs w:val="18"/>
                  </w:rPr>
                  <m:t>(</m:t>
                </m:r>
                <m:ctrlPr>
                  <w:rPr>
                    <w:rFonts w:ascii="DejaVu Math TeX Gyre" w:hAnsi="DejaVu Math TeX Gyre" w:cs="Times New Roman Regular"/>
                    <w:i/>
                    <w:iCs/>
                    <w:color w:val="0000FF"/>
                    <w:sz w:val="18"/>
                    <w:szCs w:val="18"/>
                  </w:rPr>
                </m:ctrlPr>
              </m:e>
            </m:nary>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b w:val="0"/>
                    <w:i/>
                    <w:iCs/>
                    <w:color w:val="0000FF"/>
                    <w:sz w:val="18"/>
                    <w:szCs w:val="18"/>
                  </w:rPr>
                  <m:t>y</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i</m:t>
                </m:r>
                <m:ctrlPr>
                  <w:rPr>
                    <w:rFonts w:ascii="DejaVu Math TeX Gyre" w:hAnsi="DejaVu Math TeX Gyre" w:cs="Times New Roman Regular"/>
                    <w:i/>
                    <w:iCs/>
                    <w:color w:val="0000FF"/>
                    <w:sz w:val="18"/>
                    <w:szCs w:val="18"/>
                  </w:rPr>
                </m:ctrlPr>
              </m:sub>
            </m:sSub>
            <m:r>
              <m:rPr>
                <m:nor/>
              </m:rPr>
              <w:rPr>
                <w:rFonts w:ascii="DejaVu Math TeX Gyre" w:hAnsi="DejaVu Math TeX Gyre" w:cs="Times New Roman Regular"/>
                <w:b w:val="0"/>
                <w:i/>
                <w:iCs/>
                <w:color w:val="0000FF"/>
                <w:sz w:val="18"/>
                <w:szCs w:val="18"/>
              </w:rPr>
              <m:t>-</m:t>
            </m:r>
            <m:sSub>
              <m:sSubPr>
                <m:ctrlPr>
                  <w:rPr>
                    <w:rFonts w:ascii="DejaVu Math TeX Gyre" w:hAnsi="DejaVu Math TeX Gyre" w:cs="Times New Roman Regular"/>
                    <w:i/>
                    <w:iCs/>
                    <w:color w:val="0000FF"/>
                    <w:sz w:val="18"/>
                    <w:szCs w:val="18"/>
                  </w:rPr>
                </m:ctrlPr>
              </m:sSubPr>
              <m:e>
                <m:acc>
                  <m:accPr>
                    <m:ctrlPr>
                      <w:rPr>
                        <w:rFonts w:ascii="DejaVu Math TeX Gyre" w:hAnsi="DejaVu Math TeX Gyre" w:cs="Times New Roman Regular"/>
                        <w:i/>
                        <w:iCs/>
                        <w:color w:val="0000FF"/>
                        <w:sz w:val="18"/>
                        <w:szCs w:val="18"/>
                      </w:rPr>
                    </m:ctrlPr>
                  </m:accPr>
                  <m:e>
                    <m:r>
                      <m:rPr>
                        <m:nor/>
                      </m:rPr>
                      <w:rPr>
                        <w:rFonts w:ascii="DejaVu Math TeX Gyre" w:hAnsi="DejaVu Math TeX Gyre" w:cs="Times New Roman Regular"/>
                        <w:b w:val="0"/>
                        <w:i/>
                        <w:iCs/>
                        <w:color w:val="0000FF"/>
                        <w:sz w:val="18"/>
                        <w:szCs w:val="18"/>
                      </w:rPr>
                      <m:t>y</m:t>
                    </m:r>
                    <m:ctrlPr>
                      <w:rPr>
                        <w:rFonts w:ascii="DejaVu Math TeX Gyre" w:hAnsi="DejaVu Math TeX Gyre" w:cs="Times New Roman Regular"/>
                        <w:i/>
                        <w:iCs/>
                        <w:color w:val="0000FF"/>
                        <w:sz w:val="18"/>
                        <w:szCs w:val="18"/>
                      </w:rPr>
                    </m:ctrlPr>
                  </m:e>
                </m:acc>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i</m:t>
                </m:r>
                <m:ctrlPr>
                  <w:rPr>
                    <w:rFonts w:ascii="DejaVu Math TeX Gyre" w:hAnsi="DejaVu Math TeX Gyre" w:cs="Times New Roman Regular"/>
                    <w:i/>
                    <w:iCs/>
                    <w:color w:val="0000FF"/>
                    <w:sz w:val="18"/>
                    <w:szCs w:val="18"/>
                  </w:rPr>
                </m:ctrlPr>
              </m:sub>
            </m:sSub>
            <m:sSup>
              <m:sSupPr>
                <m:ctrlPr>
                  <w:rPr>
                    <w:rFonts w:ascii="DejaVu Math TeX Gyre" w:hAnsi="DejaVu Math TeX Gyre" w:cs="Times New Roman Regular"/>
                    <w:i/>
                    <w:iCs/>
                    <w:color w:val="0000FF"/>
                    <w:sz w:val="18"/>
                    <w:szCs w:val="18"/>
                  </w:rPr>
                </m:ctrlPr>
              </m:sSupPr>
              <m:e>
                <m:r>
                  <m:rPr>
                    <m:nor/>
                  </m:rPr>
                  <w:rPr>
                    <w:rFonts w:ascii="DejaVu Math TeX Gyre" w:hAnsi="DejaVu Math TeX Gyre" w:cs="Times New Roman Regular"/>
                    <w:b w:val="0"/>
                    <w:i/>
                    <w:iCs/>
                    <w:color w:val="0000FF"/>
                    <w:sz w:val="18"/>
                    <w:szCs w:val="18"/>
                  </w:rPr>
                  <m:t>)</m:t>
                </m:r>
                <m:ctrlPr>
                  <w:rPr>
                    <w:rFonts w:ascii="DejaVu Math TeX Gyre" w:hAnsi="DejaVu Math TeX Gyre" w:cs="Times New Roman Regular"/>
                    <w:i/>
                    <w:iCs/>
                    <w:color w:val="0000FF"/>
                    <w:sz w:val="18"/>
                    <w:szCs w:val="18"/>
                  </w:rPr>
                </m:ctrlPr>
              </m:e>
              <m:sup>
                <m:r>
                  <m:rPr>
                    <m:nor/>
                  </m:rPr>
                  <w:rPr>
                    <w:rFonts w:ascii="DejaVu Math TeX Gyre" w:hAnsi="DejaVu Math TeX Gyre" w:cs="Times New Roman Regular"/>
                    <w:b w:val="0"/>
                    <w:i/>
                    <w:iCs/>
                    <w:color w:val="0000FF"/>
                    <w:sz w:val="18"/>
                    <w:szCs w:val="18"/>
                  </w:rPr>
                  <m:t>2</m:t>
                </m:r>
                <m:ctrlPr>
                  <w:rPr>
                    <w:rFonts w:ascii="DejaVu Math TeX Gyre" w:hAnsi="DejaVu Math TeX Gyre" w:cs="Times New Roman Regular"/>
                    <w:i/>
                    <w:iCs/>
                    <w:color w:val="0000FF"/>
                    <w:sz w:val="18"/>
                    <w:szCs w:val="18"/>
                  </w:rPr>
                </m:ctrlPr>
              </m:sup>
            </m:sSup>
            <m:ctrlPr>
              <w:rPr>
                <w:rFonts w:ascii="DejaVu Math TeX Gyre" w:hAnsi="DejaVu Math TeX Gyre" w:cs="Times New Roman Regular"/>
                <w:i/>
                <w:iCs/>
                <w:color w:val="0000FF"/>
                <w:sz w:val="18"/>
                <w:szCs w:val="18"/>
              </w:rPr>
            </m:ctrlPr>
          </m:e>
        </m:rad>
      </m:oMath>
      <w:r>
        <w:rPr>
          <w:rFonts w:ascii="Times New Roman Regular" w:hAnsi="Times New Roman Regular" w:cs="Times New Roman Regular"/>
          <w:color w:val="0000FF"/>
          <w:sz w:val="18"/>
          <w:szCs w:val="18"/>
        </w:rPr>
        <w:t xml:space="preserve"> </w:t>
      </w:r>
      <w:r>
        <w:rPr>
          <w:rFonts w:hint="eastAsia" w:ascii="Times New Roman Regular" w:hAnsi="Times New Roman Regular" w:cs="Times New Roman Regular"/>
          <w:color w:val="0000FF"/>
          <w:sz w:val="18"/>
          <w:szCs w:val="18"/>
        </w:rPr>
        <w:t xml:space="preserve">                                </w:t>
      </w:r>
      <w:r>
        <w:rPr>
          <w:rFonts w:ascii="Times New Roman Regular" w:hAnsi="Times New Roman Regular" w:cs="Times New Roman Regular"/>
          <w:color w:val="0000FF"/>
          <w:sz w:val="18"/>
          <w:szCs w:val="18"/>
        </w:rPr>
        <w:t>(1</w:t>
      </w:r>
      <w:r>
        <w:rPr>
          <w:rFonts w:hint="default" w:ascii="Times New Roman Regular" w:hAnsi="Times New Roman Regular" w:cs="Times New Roman Regular"/>
          <w:color w:val="0000FF"/>
          <w:sz w:val="18"/>
          <w:szCs w:val="18"/>
          <w:lang w:val="en-US"/>
        </w:rPr>
        <w:t>9</w:t>
      </w:r>
      <w:r>
        <w:rPr>
          <w:rFonts w:ascii="Times New Roman Regular" w:hAnsi="Times New Roman Regular" w:cs="Times New Roman Regular"/>
          <w:color w:val="0000FF"/>
          <w:sz w:val="18"/>
          <w:szCs w:val="18"/>
        </w:rPr>
        <w:t>)</w:t>
      </w:r>
    </w:p>
    <w:p w14:paraId="4C80EAD6">
      <w:pPr>
        <w:spacing w:line="300" w:lineRule="auto"/>
        <w:jc w:val="right"/>
        <w:rPr>
          <w:rFonts w:ascii="Times New Roman Regular" w:hAnsi="Times New Roman Regular" w:cs="Times New Roman Regular"/>
          <w:color w:val="0000FF"/>
          <w:sz w:val="18"/>
          <w:szCs w:val="18"/>
        </w:rPr>
      </w:pPr>
      <m:oMath>
        <m:r>
          <m:rPr>
            <m:nor/>
          </m:rPr>
          <w:rPr>
            <w:rFonts w:ascii="DejaVu Math TeX Gyre" w:hAnsi="DejaVu Math TeX Gyre" w:cs="Times New Roman Regular"/>
            <w:b w:val="0"/>
            <w:i/>
            <w:iCs/>
            <w:color w:val="0000FF"/>
            <w:sz w:val="18"/>
            <w:szCs w:val="18"/>
          </w:rPr>
          <m:t>MAE=</m:t>
        </m:r>
        <m:f>
          <m:fPr>
            <m:ctrlPr>
              <w:rPr>
                <w:rFonts w:ascii="DejaVu Math TeX Gyre" w:hAnsi="DejaVu Math TeX Gyre" w:cs="Times New Roman Regular"/>
                <w:i/>
                <w:iCs/>
                <w:color w:val="0000FF"/>
                <w:sz w:val="18"/>
                <w:szCs w:val="18"/>
              </w:rPr>
            </m:ctrlPr>
          </m:fPr>
          <m:num>
            <m:r>
              <m:rPr>
                <m:nor/>
              </m:rPr>
              <w:rPr>
                <w:rFonts w:ascii="DejaVu Math TeX Gyre" w:hAnsi="DejaVu Math TeX Gyre" w:cs="Times New Roman Regular"/>
                <w:b w:val="0"/>
                <w:i/>
                <w:iCs/>
                <w:color w:val="0000FF"/>
                <w:sz w:val="18"/>
                <w:szCs w:val="18"/>
              </w:rPr>
              <m:t>1</m:t>
            </m:r>
            <m:ctrlPr>
              <w:rPr>
                <w:rFonts w:ascii="DejaVu Math TeX Gyre" w:hAnsi="DejaVu Math TeX Gyre" w:cs="Times New Roman Regular"/>
                <w:i/>
                <w:iCs/>
                <w:color w:val="0000FF"/>
                <w:sz w:val="18"/>
                <w:szCs w:val="18"/>
              </w:rPr>
            </m:ctrlPr>
          </m:num>
          <m:den>
            <m:r>
              <m:rPr>
                <m:nor/>
              </m:rPr>
              <w:rPr>
                <w:rFonts w:ascii="DejaVu Math TeX Gyre" w:hAnsi="DejaVu Math TeX Gyre" w:cs="Times New Roman Regular"/>
                <w:b w:val="0"/>
                <w:i/>
                <w:iCs/>
                <w:color w:val="0000FF"/>
                <w:sz w:val="18"/>
                <w:szCs w:val="18"/>
              </w:rPr>
              <m:t>n</m:t>
            </m:r>
            <m:ctrlPr>
              <w:rPr>
                <w:rFonts w:ascii="DejaVu Math TeX Gyre" w:hAnsi="DejaVu Math TeX Gyre" w:cs="Times New Roman Regular"/>
                <w:i/>
                <w:iCs/>
                <w:color w:val="0000FF"/>
                <w:sz w:val="18"/>
                <w:szCs w:val="18"/>
              </w:rPr>
            </m:ctrlPr>
          </m:den>
        </m:f>
        <m:nary>
          <m:naryPr>
            <m:chr m:val="∑"/>
            <m:limLoc m:val="undOvr"/>
            <m:ctrlPr>
              <w:rPr>
                <w:rFonts w:ascii="DejaVu Math TeX Gyre" w:hAnsi="DejaVu Math TeX Gyre" w:cs="Times New Roman Regular"/>
                <w:i/>
                <w:iCs/>
                <w:color w:val="0000FF"/>
                <w:sz w:val="18"/>
                <w:szCs w:val="18"/>
              </w:rPr>
            </m:ctrlPr>
          </m:naryPr>
          <m:sub>
            <m:r>
              <m:rPr>
                <m:nor/>
              </m:rPr>
              <w:rPr>
                <w:rFonts w:ascii="DejaVu Math TeX Gyre" w:hAnsi="DejaVu Math TeX Gyre" w:cs="Times New Roman Regular"/>
                <w:b w:val="0"/>
                <w:i/>
                <w:iCs/>
                <w:color w:val="0000FF"/>
                <w:sz w:val="18"/>
                <w:szCs w:val="18"/>
              </w:rPr>
              <m:t>i=1</m:t>
            </m:r>
            <m:ctrlPr>
              <w:rPr>
                <w:rFonts w:ascii="DejaVu Math TeX Gyre" w:hAnsi="DejaVu Math TeX Gyre" w:cs="Times New Roman Regular"/>
                <w:i/>
                <w:iCs/>
                <w:color w:val="0000FF"/>
                <w:sz w:val="18"/>
                <w:szCs w:val="18"/>
              </w:rPr>
            </m:ctrlPr>
          </m:sub>
          <m:sup>
            <m:r>
              <m:rPr>
                <m:nor/>
              </m:rPr>
              <w:rPr>
                <w:rFonts w:ascii="DejaVu Math TeX Gyre" w:hAnsi="DejaVu Math TeX Gyre" w:cs="Times New Roman Regular"/>
                <w:b w:val="0"/>
                <w:i/>
                <w:iCs/>
                <w:color w:val="0000FF"/>
                <w:sz w:val="18"/>
                <w:szCs w:val="18"/>
              </w:rPr>
              <m:t>n</m:t>
            </m:r>
            <m:ctrlPr>
              <w:rPr>
                <w:rFonts w:ascii="DejaVu Math TeX Gyre" w:hAnsi="DejaVu Math TeX Gyre" w:cs="Times New Roman Regular"/>
                <w:i/>
                <w:iCs/>
                <w:color w:val="0000FF"/>
                <w:sz w:val="18"/>
                <w:szCs w:val="18"/>
              </w:rPr>
            </m:ctrlPr>
          </m:sup>
          <m:e>
            <m:r>
              <m:rPr>
                <m:nor/>
              </m:rPr>
              <w:rPr>
                <w:rFonts w:ascii="DejaVu Math TeX Gyre" w:hAnsi="DejaVu Math TeX Gyre" w:cs="Times New Roman Regular"/>
                <w:b w:val="0"/>
                <w:i/>
                <w:iCs/>
                <w:color w:val="0000FF"/>
                <w:sz w:val="18"/>
                <w:szCs w:val="18"/>
              </w:rPr>
              <m:t>|</m:t>
            </m:r>
            <m:ctrlPr>
              <w:rPr>
                <w:rFonts w:ascii="DejaVu Math TeX Gyre" w:hAnsi="DejaVu Math TeX Gyre" w:cs="Times New Roman Regular"/>
                <w:i/>
                <w:iCs/>
                <w:color w:val="0000FF"/>
                <w:sz w:val="18"/>
                <w:szCs w:val="18"/>
              </w:rPr>
            </m:ctrlPr>
          </m:e>
        </m:nary>
        <m:sSub>
          <m:sSubPr>
            <m:ctrlPr>
              <w:rPr>
                <w:rFonts w:ascii="DejaVu Math TeX Gyre" w:hAnsi="DejaVu Math TeX Gyre" w:cs="Times New Roman Regular"/>
                <w:i/>
                <w:iCs/>
                <w:color w:val="0000FF"/>
                <w:sz w:val="18"/>
                <w:szCs w:val="18"/>
              </w:rPr>
            </m:ctrlPr>
          </m:sSubPr>
          <m:e>
            <m:r>
              <m:rPr>
                <m:nor/>
              </m:rPr>
              <w:rPr>
                <w:rFonts w:ascii="DejaVu Math TeX Gyre" w:hAnsi="DejaVu Math TeX Gyre" w:cs="Times New Roman Regular"/>
                <w:b w:val="0"/>
                <w:i/>
                <w:iCs/>
                <w:color w:val="0000FF"/>
                <w:sz w:val="18"/>
                <w:szCs w:val="18"/>
              </w:rPr>
              <m:t>y</m:t>
            </m:r>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i</m:t>
            </m:r>
            <m:ctrlPr>
              <w:rPr>
                <w:rFonts w:ascii="DejaVu Math TeX Gyre" w:hAnsi="DejaVu Math TeX Gyre" w:cs="Times New Roman Regular"/>
                <w:i/>
                <w:iCs/>
                <w:color w:val="0000FF"/>
                <w:sz w:val="18"/>
                <w:szCs w:val="18"/>
              </w:rPr>
            </m:ctrlPr>
          </m:sub>
        </m:sSub>
        <m:r>
          <m:rPr>
            <m:nor/>
          </m:rPr>
          <w:rPr>
            <w:rFonts w:ascii="DejaVu Math TeX Gyre" w:hAnsi="DejaVu Math TeX Gyre" w:cs="Times New Roman Regular"/>
            <w:b w:val="0"/>
            <w:i/>
            <w:iCs/>
            <w:color w:val="0000FF"/>
            <w:sz w:val="18"/>
            <w:szCs w:val="18"/>
          </w:rPr>
          <m:t>-</m:t>
        </m:r>
        <m:sSub>
          <m:sSubPr>
            <m:ctrlPr>
              <w:rPr>
                <w:rFonts w:ascii="DejaVu Math TeX Gyre" w:hAnsi="DejaVu Math TeX Gyre" w:cs="Times New Roman Regular"/>
                <w:i/>
                <w:iCs/>
                <w:color w:val="0000FF"/>
                <w:sz w:val="18"/>
                <w:szCs w:val="18"/>
              </w:rPr>
            </m:ctrlPr>
          </m:sSubPr>
          <m:e>
            <m:acc>
              <m:accPr>
                <m:ctrlPr>
                  <w:rPr>
                    <w:rFonts w:ascii="DejaVu Math TeX Gyre" w:hAnsi="DejaVu Math TeX Gyre" w:cs="Times New Roman Regular"/>
                    <w:i/>
                    <w:iCs/>
                    <w:color w:val="0000FF"/>
                    <w:sz w:val="18"/>
                    <w:szCs w:val="18"/>
                  </w:rPr>
                </m:ctrlPr>
              </m:accPr>
              <m:e>
                <m:r>
                  <m:rPr>
                    <m:nor/>
                  </m:rPr>
                  <w:rPr>
                    <w:rFonts w:ascii="DejaVu Math TeX Gyre" w:hAnsi="DejaVu Math TeX Gyre" w:cs="Times New Roman Regular"/>
                    <w:b w:val="0"/>
                    <w:i/>
                    <w:iCs/>
                    <w:color w:val="0000FF"/>
                    <w:sz w:val="18"/>
                    <w:szCs w:val="18"/>
                  </w:rPr>
                  <m:t>y</m:t>
                </m:r>
                <m:ctrlPr>
                  <w:rPr>
                    <w:rFonts w:ascii="DejaVu Math TeX Gyre" w:hAnsi="DejaVu Math TeX Gyre" w:cs="Times New Roman Regular"/>
                    <w:i/>
                    <w:iCs/>
                    <w:color w:val="0000FF"/>
                    <w:sz w:val="18"/>
                    <w:szCs w:val="18"/>
                  </w:rPr>
                </m:ctrlPr>
              </m:e>
            </m:acc>
            <m:ctrlPr>
              <w:rPr>
                <w:rFonts w:ascii="DejaVu Math TeX Gyre" w:hAnsi="DejaVu Math TeX Gyre" w:cs="Times New Roman Regular"/>
                <w:i/>
                <w:iCs/>
                <w:color w:val="0000FF"/>
                <w:sz w:val="18"/>
                <w:szCs w:val="18"/>
              </w:rPr>
            </m:ctrlPr>
          </m:e>
          <m:sub>
            <m:r>
              <m:rPr>
                <m:nor/>
              </m:rPr>
              <w:rPr>
                <w:rFonts w:ascii="DejaVu Math TeX Gyre" w:hAnsi="DejaVu Math TeX Gyre" w:cs="Times New Roman Regular"/>
                <w:b w:val="0"/>
                <w:i/>
                <w:iCs/>
                <w:color w:val="0000FF"/>
                <w:sz w:val="18"/>
                <w:szCs w:val="18"/>
              </w:rPr>
              <m:t>i</m:t>
            </m:r>
            <m:ctrlPr>
              <w:rPr>
                <w:rFonts w:ascii="DejaVu Math TeX Gyre" w:hAnsi="DejaVu Math TeX Gyre" w:cs="Times New Roman Regular"/>
                <w:i/>
                <w:iCs/>
                <w:color w:val="0000FF"/>
                <w:sz w:val="18"/>
                <w:szCs w:val="18"/>
              </w:rPr>
            </m:ctrlPr>
          </m:sub>
        </m:sSub>
        <m:r>
          <m:rPr>
            <m:nor/>
          </m:rPr>
          <w:rPr>
            <w:rFonts w:ascii="DejaVu Math TeX Gyre" w:hAnsi="DejaVu Math TeX Gyre" w:cs="Times New Roman Regular"/>
            <w:b w:val="0"/>
            <w:i/>
            <w:iCs/>
            <w:color w:val="0000FF"/>
            <w:sz w:val="18"/>
            <w:szCs w:val="18"/>
          </w:rPr>
          <m:t>|</m:t>
        </m:r>
      </m:oMath>
      <w:r>
        <w:rPr>
          <w:rFonts w:hint="eastAsia" w:hAnsi="DejaVu Math TeX Gyre" w:cs="Times New Roman Regular"/>
          <w:color w:val="0000FF"/>
          <w:sz w:val="18"/>
          <w:szCs w:val="18"/>
        </w:rPr>
        <w:t xml:space="preserve">                                  </w:t>
      </w:r>
      <w:r>
        <w:rPr>
          <w:rFonts w:ascii="Times New Roman Regular" w:hAnsi="Times New Roman Regular" w:cs="Times New Roman Regular"/>
          <w:color w:val="0000FF"/>
          <w:sz w:val="18"/>
          <w:szCs w:val="18"/>
        </w:rPr>
        <w:t xml:space="preserve"> (</w:t>
      </w:r>
      <w:r>
        <w:rPr>
          <w:rFonts w:hint="default" w:ascii="Times New Roman Regular" w:hAnsi="Times New Roman Regular" w:cs="Times New Roman Regular"/>
          <w:color w:val="0000FF"/>
          <w:sz w:val="18"/>
          <w:szCs w:val="18"/>
          <w:lang w:val="en-US"/>
        </w:rPr>
        <w:t>20</w:t>
      </w:r>
      <w:r>
        <w:rPr>
          <w:rFonts w:ascii="Times New Roman Regular" w:hAnsi="Times New Roman Regular" w:cs="Times New Roman Regular"/>
          <w:color w:val="0000FF"/>
          <w:sz w:val="18"/>
          <w:szCs w:val="18"/>
        </w:rPr>
        <w:t>)</w:t>
      </w:r>
    </w:p>
    <w:p w14:paraId="08BDF42E">
      <w:pPr>
        <w:spacing w:line="300" w:lineRule="auto"/>
        <w:rPr>
          <w:rFonts w:ascii="Times New Roman Regular" w:hAnsi="Times New Roman Regular" w:cs="Times New Roman Regular"/>
          <w:color w:val="0000FF"/>
        </w:rPr>
      </w:pPr>
      <w:r>
        <w:rPr>
          <w:rFonts w:hint="eastAsia" w:ascii="Times New Roman Regular" w:hAnsi="Times New Roman Regular" w:cs="Times New Roman Regular"/>
          <w:color w:val="0000FF"/>
        </w:rPr>
        <w:t xml:space="preserve">where </w:t>
      </w:r>
      <m:oMath>
        <m:sSub>
          <m:sSubPr>
            <m:ctrlPr>
              <w:rPr>
                <w:rFonts w:ascii="DejaVu Math TeX Gyre" w:hAnsi="DejaVu Math TeX Gyre" w:cs="Times New Roman Regular"/>
                <w:color w:val="0000FF"/>
              </w:rPr>
            </m:ctrlPr>
          </m:sSubPr>
          <m:e>
            <m:r>
              <m:rPr>
                <m:nor/>
                <m:sty m:val="p"/>
              </m:rPr>
              <w:rPr>
                <w:rFonts w:ascii="DejaVu Math TeX Gyre" w:hAnsi="DejaVu Math TeX Gyre" w:cs="Times New Roman Regular"/>
                <w:b w:val="0"/>
                <w:i w:val="0"/>
                <w:color w:val="0000FF"/>
              </w:rPr>
              <m:t>y</m:t>
            </m:r>
            <m:ctrlPr>
              <w:rPr>
                <w:rFonts w:ascii="DejaVu Math TeX Gyre" w:hAnsi="DejaVu Math TeX Gyre" w:cs="Times New Roman Regular"/>
                <w:color w:val="0000FF"/>
              </w:rPr>
            </m:ctrlPr>
          </m:e>
          <m:sub>
            <m:r>
              <m:rPr>
                <m:nor/>
                <m:sty m:val="p"/>
              </m:rPr>
              <w:rPr>
                <w:rFonts w:ascii="DejaVu Math TeX Gyre" w:hAnsi="DejaVu Math TeX Gyre" w:cs="Times New Roman Regular"/>
                <w:b w:val="0"/>
                <w:i w:val="0"/>
                <w:color w:val="0000FF"/>
              </w:rPr>
              <m:t>i</m:t>
            </m:r>
            <m:ctrlPr>
              <w:rPr>
                <w:rFonts w:ascii="DejaVu Math TeX Gyre" w:hAnsi="DejaVu Math TeX Gyre" w:cs="Times New Roman Regular"/>
                <w:color w:val="0000FF"/>
              </w:rPr>
            </m:ctrlPr>
          </m:sub>
        </m:sSub>
      </m:oMath>
      <w:r>
        <w:rPr>
          <w:rFonts w:hAnsi="DejaVu Math TeX Gyre" w:cs="Times New Roman Regular"/>
          <w:color w:val="0000FF"/>
        </w:rPr>
        <w:t xml:space="preserve"> </w:t>
      </w:r>
      <w:r>
        <w:rPr>
          <w:rFonts w:hint="eastAsia" w:ascii="Times New Roman Regular" w:hAnsi="Times New Roman Regular" w:cs="Times New Roman Regular"/>
          <w:color w:val="0000FF"/>
        </w:rPr>
        <w:t>is the measured value of the i-th sample</w:t>
      </w:r>
      <w:r>
        <w:rPr>
          <w:rFonts w:hint="eastAsia" w:ascii="Times New Roman Regular" w:hAnsi="Times New Roman Regular" w:cs="Times New Roman Regular"/>
          <w:color w:val="0000FF"/>
          <w:lang w:val="en-US" w:eastAsia="zh-CN"/>
        </w:rPr>
        <w:t xml:space="preserve"> (mg L</w:t>
      </w:r>
      <w:r>
        <w:rPr>
          <w:rFonts w:hint="eastAsia" w:ascii="Times New Roman Regular" w:hAnsi="Times New Roman Regular" w:cs="Times New Roman Regular"/>
          <w:color w:val="0000FF"/>
          <w:vertAlign w:val="superscript"/>
          <w:lang w:val="en-US" w:eastAsia="zh-CN"/>
        </w:rPr>
        <w:t>-1</w:t>
      </w:r>
      <w:r>
        <w:rPr>
          <w:rFonts w:hint="eastAsia"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rPr>
        <w:t xml:space="preserve">, </w:t>
      </w:r>
      <m:oMath>
        <m:sSub>
          <m:sSubPr>
            <m:ctrlPr>
              <w:rPr>
                <w:rFonts w:ascii="DejaVu Math TeX Gyre" w:hAnsi="DejaVu Math TeX Gyre" w:cs="Times New Roman Regular"/>
                <w:color w:val="0000FF"/>
              </w:rPr>
            </m:ctrlPr>
          </m:sSubPr>
          <m:e>
            <m:acc>
              <m:accPr>
                <m:ctrlPr>
                  <w:rPr>
                    <w:rFonts w:ascii="DejaVu Math TeX Gyre" w:hAnsi="DejaVu Math TeX Gyre" w:cs="Times New Roman Regular"/>
                    <w:color w:val="0000FF"/>
                  </w:rPr>
                </m:ctrlPr>
              </m:accPr>
              <m:e>
                <m:r>
                  <m:rPr>
                    <m:nor/>
                    <m:sty m:val="p"/>
                  </m:rPr>
                  <w:rPr>
                    <w:rFonts w:ascii="DejaVu Math TeX Gyre" w:hAnsi="DejaVu Math TeX Gyre" w:cs="Times New Roman Regular"/>
                    <w:b w:val="0"/>
                    <w:i w:val="0"/>
                    <w:color w:val="0000FF"/>
                  </w:rPr>
                  <m:t>y</m:t>
                </m:r>
                <m:ctrlPr>
                  <w:rPr>
                    <w:rFonts w:ascii="DejaVu Math TeX Gyre" w:hAnsi="DejaVu Math TeX Gyre" w:cs="Times New Roman Regular"/>
                    <w:color w:val="0000FF"/>
                  </w:rPr>
                </m:ctrlPr>
              </m:e>
            </m:acc>
            <m:ctrlPr>
              <w:rPr>
                <w:rFonts w:ascii="DejaVu Math TeX Gyre" w:hAnsi="DejaVu Math TeX Gyre" w:cs="Times New Roman Regular"/>
                <w:color w:val="0000FF"/>
              </w:rPr>
            </m:ctrlPr>
          </m:e>
          <m:sub>
            <m:r>
              <m:rPr>
                <m:nor/>
                <m:sty m:val="p"/>
              </m:rPr>
              <w:rPr>
                <w:rFonts w:ascii="DejaVu Math TeX Gyre" w:hAnsi="DejaVu Math TeX Gyre" w:cs="Times New Roman Regular"/>
                <w:b w:val="0"/>
                <w:i w:val="0"/>
                <w:color w:val="0000FF"/>
              </w:rPr>
              <m:t>i</m:t>
            </m:r>
            <m:ctrlPr>
              <w:rPr>
                <w:rFonts w:ascii="DejaVu Math TeX Gyre" w:hAnsi="DejaVu Math TeX Gyre" w:cs="Times New Roman Regular"/>
                <w:color w:val="0000FF"/>
              </w:rPr>
            </m:ctrlPr>
          </m:sub>
        </m:sSub>
      </m:oMath>
      <w:r>
        <w:rPr>
          <w:rFonts w:hAnsi="DejaVu Math TeX Gyre" w:cs="Times New Roman Regular"/>
          <w:color w:val="0000FF"/>
        </w:rPr>
        <w:t xml:space="preserve"> </w:t>
      </w:r>
      <w:r>
        <w:rPr>
          <w:rFonts w:hint="eastAsia" w:ascii="Times New Roman Regular" w:hAnsi="Times New Roman Regular" w:cs="Times New Roman Regular"/>
          <w:color w:val="0000FF"/>
        </w:rPr>
        <w:t>is the model</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s predicted value</w:t>
      </w:r>
      <w:r>
        <w:rPr>
          <w:rFonts w:hint="eastAsia" w:ascii="Times New Roman Regular" w:hAnsi="Times New Roman Regular" w:cs="Times New Roman Regular"/>
          <w:color w:val="0000FF"/>
          <w:lang w:val="en-US" w:eastAsia="zh-CN"/>
        </w:rPr>
        <w:t xml:space="preserve"> (mg L</w:t>
      </w:r>
      <w:r>
        <w:rPr>
          <w:rFonts w:hint="eastAsia" w:ascii="Times New Roman Regular" w:hAnsi="Times New Roman Regular" w:cs="Times New Roman Regular"/>
          <w:color w:val="0000FF"/>
          <w:vertAlign w:val="superscript"/>
          <w:lang w:val="en-US" w:eastAsia="zh-CN"/>
        </w:rPr>
        <w:t>-1</w:t>
      </w:r>
      <w:r>
        <w:rPr>
          <w:rFonts w:hint="eastAsia"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rPr>
        <w:t xml:space="preserve">, </w:t>
      </w:r>
      <m:oMath>
        <m:acc>
          <m:accPr>
            <m:chr m:val="̄"/>
            <m:ctrlPr>
              <w:rPr>
                <w:rFonts w:ascii="DejaVu Math TeX Gyre" w:hAnsi="DejaVu Math TeX Gyre" w:cs="Times New Roman Regular"/>
                <w:color w:val="0000FF"/>
              </w:rPr>
            </m:ctrlPr>
          </m:accPr>
          <m:e>
            <m:r>
              <m:rPr>
                <m:nor/>
                <m:sty m:val="p"/>
              </m:rPr>
              <w:rPr>
                <w:rFonts w:ascii="DejaVu Math TeX Gyre" w:hAnsi="DejaVu Math TeX Gyre" w:cs="Times New Roman Regular"/>
                <w:b w:val="0"/>
                <w:i w:val="0"/>
                <w:color w:val="0000FF"/>
              </w:rPr>
              <m:t>y</m:t>
            </m:r>
            <m:ctrlPr>
              <w:rPr>
                <w:rFonts w:ascii="DejaVu Math TeX Gyre" w:hAnsi="DejaVu Math TeX Gyre" w:cs="Times New Roman Regular"/>
                <w:color w:val="0000FF"/>
              </w:rPr>
            </m:ctrlPr>
          </m:e>
        </m:acc>
      </m:oMath>
      <w:r>
        <w:rPr>
          <w:rFonts w:hint="eastAsia" w:ascii="Times New Roman Regular" w:hAnsi="Times New Roman Regular" w:cs="Times New Roman Regular"/>
          <w:color w:val="0000FF"/>
        </w:rPr>
        <w:t xml:space="preserve"> is the mean of the measured values, and n</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is the number of samples in the test set.</w:t>
      </w:r>
    </w:p>
    <w:p w14:paraId="7A4D336B">
      <w:pPr>
        <w:spacing w:line="300" w:lineRule="auto"/>
        <w:rPr>
          <w:rFonts w:ascii="Times New Roman Regular" w:hAnsi="Times New Roman Regular" w:cs="Times New Roman Regular"/>
          <w:color w:val="0000FF"/>
        </w:rPr>
      </w:pPr>
    </w:p>
    <w:p w14:paraId="054618D0">
      <w:pPr>
        <w:spacing w:line="300" w:lineRule="auto"/>
        <w:outlineLvl w:val="2"/>
        <w:rPr>
          <w:rFonts w:hint="default" w:ascii="Times New Roman Regular" w:hAnsi="Times New Roman Regular" w:cs="Times New Roman Regular" w:eastAsiaTheme="minorEastAsia"/>
          <w:color w:val="0000FF"/>
          <w:lang w:val="en-US" w:eastAsia="zh-CN"/>
        </w:rPr>
      </w:pPr>
      <w:r>
        <w:rPr>
          <w:rFonts w:hint="eastAsia" w:ascii="Times New Roman Regular" w:hAnsi="Times New Roman Regular" w:cs="Times New Roman Regular"/>
          <w:color w:val="0000FF"/>
          <w:lang w:val="en-US" w:eastAsia="zh-CN"/>
        </w:rPr>
        <w:t xml:space="preserve">2.7.3 Model robustness and </w:t>
      </w:r>
      <w:r>
        <w:rPr>
          <w:rFonts w:hint="default" w:ascii="Times New Roman Regular" w:hAnsi="Times New Roman Regular" w:cs="Times New Roman Regular"/>
          <w:color w:val="0000FF"/>
          <w:lang w:val="en-US" w:eastAsia="zh-CN"/>
        </w:rPr>
        <w:t>u</w:t>
      </w:r>
      <w:r>
        <w:rPr>
          <w:rFonts w:hint="eastAsia" w:ascii="Times New Roman Regular" w:hAnsi="Times New Roman Regular" w:cs="Times New Roman Regular"/>
          <w:color w:val="0000FF"/>
          <w:lang w:val="en-US" w:eastAsia="zh-CN"/>
        </w:rPr>
        <w:t xml:space="preserve">ncertainty </w:t>
      </w:r>
      <w:r>
        <w:rPr>
          <w:rFonts w:hint="default" w:ascii="Times New Roman Regular" w:hAnsi="Times New Roman Regular" w:cs="Times New Roman Regular"/>
          <w:color w:val="0000FF"/>
          <w:lang w:val="en-US" w:eastAsia="zh-CN"/>
        </w:rPr>
        <w:t>a</w:t>
      </w:r>
      <w:r>
        <w:rPr>
          <w:rFonts w:hint="eastAsia" w:ascii="Times New Roman Regular" w:hAnsi="Times New Roman Regular" w:cs="Times New Roman Regular"/>
          <w:color w:val="0000FF"/>
          <w:lang w:val="en-US" w:eastAsia="zh-CN"/>
        </w:rPr>
        <w:t>nalysis</w:t>
      </w:r>
    </w:p>
    <w:p w14:paraId="1893BF3A">
      <w:pPr>
        <w:spacing w:line="300" w:lineRule="auto"/>
        <w:outlineLvl w:val="3"/>
        <w:rPr>
          <w:rFonts w:ascii="Times New Roman Regular" w:hAnsi="Times New Roman Regular" w:cs="Times New Roman Regular"/>
          <w:color w:val="0000FF"/>
        </w:rPr>
      </w:pPr>
      <w:r>
        <w:rPr>
          <w:rFonts w:hint="default" w:ascii="Times New Roman Regular" w:hAnsi="Times New Roman Regular" w:cs="Times New Roman Regular"/>
          <w:color w:val="0000FF"/>
          <w:lang w:val="en-US"/>
        </w:rPr>
        <w:t>2.</w:t>
      </w:r>
      <w:r>
        <w:rPr>
          <w:rFonts w:hint="eastAsia" w:ascii="Times New Roman Regular" w:hAnsi="Times New Roman Regular" w:cs="Times New Roman Regular"/>
          <w:color w:val="0000FF"/>
          <w:lang w:val="en-US" w:eastAsia="zh-CN"/>
        </w:rPr>
        <w:t>7</w:t>
      </w:r>
      <w:r>
        <w:rPr>
          <w:rFonts w:hint="default" w:ascii="Times New Roman Regular" w:hAnsi="Times New Roman Regular" w:cs="Times New Roman Regular"/>
          <w:color w:val="0000FF"/>
          <w:lang w:val="en-US"/>
        </w:rPr>
        <w:t xml:space="preserve">.3.1 </w:t>
      </w:r>
      <w:r>
        <w:rPr>
          <w:rFonts w:hint="eastAsia" w:ascii="Times New Roman Regular" w:hAnsi="Times New Roman Regular" w:cs="Times New Roman Regular"/>
          <w:color w:val="0000FF"/>
        </w:rPr>
        <w:t>Sensitivity analysis</w:t>
      </w:r>
    </w:p>
    <w:p w14:paraId="4038BF3C">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To quantitatively evaluate the response intensity of the model</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s nitrate concentration prediction results to the perturbation of input hydrochemical parameters, and to verify the robustness of the model and the reliability of feature importance ranking, this study conducted a multi-dimensional sensitivity analysis. This includes global sensitivity indices based on SHAP values, one-at-a-time (OAT) feature perturbation tests, and elasticity coefficient calculations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Di et al., 2024</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w:t>
      </w:r>
    </w:p>
    <w:p w14:paraId="4314550E">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First, based on the SHAP values obtained from the TreeExplainer, the first-order and total-order sensitivity indices were calculated to measure the independent and interactive contributions of each feature</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Huang et al., 2021</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xml:space="preserve">. The first-order sensitivity index </w:t>
      </w:r>
      <m:oMath>
        <m:sSub>
          <m:sSubPr>
            <m:ctrlPr>
              <w:rPr>
                <w:rFonts w:hint="default" w:ascii="DejaVu Math TeX Gyre" w:hAnsi="DejaVu Math TeX Gyre" w:cs="Times New Roman Regular"/>
                <w:color w:val="0000FF"/>
                <w:sz w:val="21"/>
              </w:rPr>
            </m:ctrlPr>
          </m:sSubPr>
          <m:e>
            <m:r>
              <m:rPr>
                <m:nor/>
                <m:sty m:val="p"/>
              </m:rPr>
              <w:rPr>
                <w:rFonts w:hint="default" w:ascii="DejaVu Math TeX Gyre" w:hAnsi="DejaVu Math TeX Gyre" w:cs="Times New Roman Regular"/>
                <w:b w:val="0"/>
                <w:i w:val="0"/>
                <w:color w:val="0000FF"/>
                <w:sz w:val="21"/>
              </w:rPr>
              <m:t>S</m:t>
            </m:r>
            <m:ctrlPr>
              <w:rPr>
                <w:rFonts w:ascii="DejaVu Math TeX Gyre" w:hAnsi="DejaVu Math TeX Gyre" w:cs="Times New Roman Regular"/>
                <w:color w:val="0000FF"/>
                <w:sz w:val="21"/>
              </w:rPr>
            </m:ctrlPr>
          </m:e>
          <m:sub>
            <m:r>
              <m:rPr>
                <m:nor/>
                <m:sty m:val="p"/>
              </m:rPr>
              <w:rPr>
                <w:rFonts w:hint="default" w:ascii="DejaVu Math TeX Gyre" w:hAnsi="DejaVu Math TeX Gyre" w:cs="Times New Roman Regular"/>
                <w:b w:val="0"/>
                <w:i w:val="0"/>
                <w:color w:val="0000FF"/>
                <w:sz w:val="21"/>
              </w:rPr>
              <m:t>i</m:t>
            </m:r>
            <m:ctrlPr>
              <w:rPr>
                <w:rFonts w:ascii="DejaVu Math TeX Gyre" w:hAnsi="DejaVu Math TeX Gyre" w:cs="Times New Roman Regular"/>
                <w:color w:val="0000FF"/>
                <w:sz w:val="21"/>
              </w:rPr>
            </m:ctrlPr>
          </m:sub>
        </m:sSub>
      </m:oMath>
      <w:r>
        <w:rPr>
          <w:rFonts w:hint="eastAsia" w:ascii="Times New Roman Regular" w:hAnsi="Times New Roman Regular" w:cs="Times New Roman Regular"/>
          <w:color w:val="0000FF"/>
        </w:rPr>
        <w:t xml:space="preserve"> for feature i is defined as the normalized mean absolute SHAP value:</w:t>
      </w:r>
    </w:p>
    <w:p w14:paraId="308FC1A6">
      <w:pPr>
        <w:spacing w:line="300" w:lineRule="auto"/>
        <w:ind w:firstLine="420"/>
        <w:jc w:val="right"/>
        <w:rPr>
          <w:rFonts w:hint="default" w:ascii="Times New Roman Regular" w:hAnsi="Times New Roman Regular" w:cs="Times New Roman Regular"/>
          <w:color w:val="0000FF"/>
          <w:lang w:val="en-US"/>
        </w:rPr>
      </w:pPr>
      <m:oMath>
        <m:sSub>
          <m:sSubPr>
            <m:ctrlPr>
              <w:rPr>
                <w:rFonts w:hint="default" w:ascii="DejaVu Math TeX Gyre" w:hAnsi="DejaVu Math TeX Gyre" w:cs="Times New Roman Regular"/>
                <w:i/>
                <w:iCs/>
                <w:color w:val="0000FF"/>
                <w:sz w:val="21"/>
              </w:rPr>
            </m:ctrlPr>
          </m:sSubPr>
          <m:e>
            <m:r>
              <m:rPr>
                <m:nor/>
              </m:rPr>
              <w:rPr>
                <w:rFonts w:hint="default" w:ascii="DejaVu Math TeX Gyre" w:hAnsi="DejaVu Math TeX Gyre" w:cs="Times New Roman Regular"/>
                <w:b w:val="0"/>
                <w:i/>
                <w:iCs/>
                <w:color w:val="0000FF"/>
                <w:sz w:val="21"/>
              </w:rPr>
              <m:t>S</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i</m:t>
            </m:r>
            <m:ctrlPr>
              <w:rPr>
                <w:rFonts w:ascii="DejaVu Math TeX Gyre" w:hAnsi="DejaVu Math TeX Gyre" w:cs="Times New Roman Regular"/>
                <w:i/>
                <w:iCs/>
                <w:color w:val="0000FF"/>
                <w:sz w:val="21"/>
              </w:rPr>
            </m:ctrlPr>
          </m:sub>
        </m:sSub>
        <m:r>
          <m:rPr>
            <m:nor/>
          </m:rPr>
          <w:rPr>
            <w:rFonts w:hint="default" w:ascii="DejaVu Math TeX Gyre" w:hAnsi="DejaVu Math TeX Gyre" w:cs="Times New Roman Regular"/>
            <w:b w:val="0"/>
            <w:i/>
            <w:iCs/>
            <w:color w:val="0000FF"/>
            <w:sz w:val="21"/>
          </w:rPr>
          <m:t>=</m:t>
        </m:r>
        <m:f>
          <m:fPr>
            <m:ctrlPr>
              <w:rPr>
                <w:rFonts w:hint="default" w:ascii="DejaVu Math TeX Gyre" w:hAnsi="DejaVu Math TeX Gyre" w:cs="Times New Roman Regular"/>
                <w:i/>
                <w:iCs/>
                <w:color w:val="0000FF"/>
                <w:sz w:val="21"/>
              </w:rPr>
            </m:ctrlPr>
          </m:fPr>
          <m:num>
            <m:f>
              <m:fPr>
                <m:ctrlPr>
                  <w:rPr>
                    <w:rFonts w:hint="default" w:ascii="DejaVu Math TeX Gyre" w:hAnsi="DejaVu Math TeX Gyre" w:cs="Times New Roman Regular"/>
                    <w:i/>
                    <w:iCs/>
                    <w:color w:val="0000FF"/>
                    <w:sz w:val="21"/>
                  </w:rPr>
                </m:ctrlPr>
              </m:fPr>
              <m:num>
                <m:r>
                  <m:rPr>
                    <m:nor/>
                  </m:rPr>
                  <w:rPr>
                    <w:rFonts w:hint="default" w:ascii="DejaVu Math TeX Gyre" w:hAnsi="DejaVu Math TeX Gyre" w:cs="Times New Roman Regular"/>
                    <w:b w:val="0"/>
                    <w:i/>
                    <w:iCs/>
                    <w:color w:val="0000FF"/>
                    <w:sz w:val="21"/>
                  </w:rPr>
                  <m:t>1</m:t>
                </m:r>
                <m:ctrlPr>
                  <w:rPr>
                    <w:rFonts w:ascii="DejaVu Math TeX Gyre" w:hAnsi="DejaVu Math TeX Gyre" w:cs="Times New Roman Regular"/>
                    <w:i/>
                    <w:iCs/>
                    <w:color w:val="0000FF"/>
                    <w:sz w:val="21"/>
                  </w:rPr>
                </m:ctrlPr>
              </m:num>
              <m:den>
                <m:r>
                  <m:rPr>
                    <m:nor/>
                  </m:rPr>
                  <w:rPr>
                    <w:rFonts w:hint="default" w:ascii="DejaVu Math TeX Gyre" w:hAnsi="DejaVu Math TeX Gyre" w:cs="Times New Roman Regular"/>
                    <w:b w:val="0"/>
                    <w:i/>
                    <w:iCs/>
                    <w:color w:val="0000FF"/>
                    <w:sz w:val="21"/>
                  </w:rPr>
                  <m:t>n</m:t>
                </m:r>
                <m:ctrlPr>
                  <w:rPr>
                    <w:rFonts w:ascii="DejaVu Math TeX Gyre" w:hAnsi="DejaVu Math TeX Gyre" w:cs="Times New Roman Regular"/>
                    <w:i/>
                    <w:iCs/>
                    <w:color w:val="0000FF"/>
                    <w:sz w:val="21"/>
                  </w:rPr>
                </m:ctrlPr>
              </m:den>
            </m:f>
            <m:nary>
              <m:naryPr>
                <m:chr m:val="∑"/>
                <m:limLoc m:val="undOvr"/>
                <m:ctrlPr>
                  <w:rPr>
                    <w:rFonts w:hint="default" w:ascii="DejaVu Math TeX Gyre" w:hAnsi="DejaVu Math TeX Gyre" w:cs="Times New Roman Regular"/>
                    <w:i/>
                    <w:iCs/>
                    <w:color w:val="0000FF"/>
                    <w:sz w:val="21"/>
                  </w:rPr>
                </m:ctrlPr>
              </m:naryPr>
              <m:sub>
                <m:r>
                  <m:rPr>
                    <m:nor/>
                  </m:rPr>
                  <w:rPr>
                    <w:rFonts w:hint="default" w:ascii="DejaVu Math TeX Gyre" w:hAnsi="DejaVu Math TeX Gyre" w:cs="Times New Roman Regular"/>
                    <w:b w:val="0"/>
                    <w:i/>
                    <w:iCs/>
                    <w:color w:val="0000FF"/>
                    <w:sz w:val="21"/>
                  </w:rPr>
                  <m:t>j=1</m:t>
                </m:r>
                <m:ctrlPr>
                  <w:rPr>
                    <w:rFonts w:ascii="DejaVu Math TeX Gyre" w:hAnsi="DejaVu Math TeX Gyre" w:cs="Times New Roman Regular"/>
                    <w:i/>
                    <w:iCs/>
                    <w:color w:val="0000FF"/>
                    <w:sz w:val="21"/>
                  </w:rPr>
                </m:ctrlPr>
              </m:sub>
              <m:sup>
                <m:r>
                  <m:rPr>
                    <m:nor/>
                  </m:rPr>
                  <w:rPr>
                    <w:rFonts w:hint="default" w:ascii="DejaVu Math TeX Gyre" w:hAnsi="DejaVu Math TeX Gyre" w:cs="Times New Roman Regular"/>
                    <w:b w:val="0"/>
                    <w:i/>
                    <w:iCs/>
                    <w:color w:val="0000FF"/>
                    <w:sz w:val="21"/>
                  </w:rPr>
                  <m:t>n</m:t>
                </m:r>
                <m:ctrlPr>
                  <w:rPr>
                    <w:rFonts w:ascii="DejaVu Math TeX Gyre" w:hAnsi="DejaVu Math TeX Gyre" w:cs="Times New Roman Regular"/>
                    <w:i/>
                    <w:iCs/>
                    <w:color w:val="0000FF"/>
                    <w:sz w:val="21"/>
                  </w:rPr>
                </m:ctrlPr>
              </m:sup>
              <m:e>
                <m:r>
                  <m:rPr>
                    <m:nor/>
                  </m:rPr>
                  <w:rPr>
                    <w:rFonts w:hint="default" w:ascii="DejaVu Math TeX Gyre" w:hAnsi="DejaVu Math TeX Gyre" w:cs="Times New Roman Regular"/>
                    <w:b w:val="0"/>
                    <w:i/>
                    <w:iCs/>
                    <w:color w:val="0000FF"/>
                    <w:sz w:val="21"/>
                  </w:rPr>
                  <m:t>|</m:t>
                </m:r>
                <m:ctrlPr>
                  <w:rPr>
                    <w:rFonts w:ascii="DejaVu Math TeX Gyre" w:hAnsi="DejaVu Math TeX Gyre" w:cs="Times New Roman Regular"/>
                    <w:i/>
                    <w:iCs/>
                    <w:color w:val="0000FF"/>
                    <w:sz w:val="21"/>
                  </w:rPr>
                </m:ctrlPr>
              </m:e>
            </m:nary>
            <m:sSubSup>
              <m:sSubSupPr>
                <m:ctrlPr>
                  <w:rPr>
                    <w:rFonts w:hint="default" w:ascii="DejaVu Math TeX Gyre" w:hAnsi="DejaVu Math TeX Gyre" w:cs="Times New Roman Regular"/>
                    <w:i/>
                    <w:iCs/>
                    <w:color w:val="0000FF"/>
                    <w:sz w:val="21"/>
                  </w:rPr>
                </m:ctrlPr>
              </m:sSubSupPr>
              <m:e>
                <m:r>
                  <m:rPr>
                    <m:nor/>
                  </m:rPr>
                  <w:rPr>
                    <w:rFonts w:hint="default" w:ascii="DejaVu Math TeX Gyre" w:hAnsi="DejaVu Math TeX Gyre" w:cs="Times New Roman Regular"/>
                    <w:b w:val="0"/>
                    <w:i/>
                    <w:iCs/>
                    <w:color w:val="0000FF"/>
                    <w:sz w:val="21"/>
                  </w:rPr>
                  <m:t>ϕ</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i</m:t>
                </m:r>
                <m:ctrlPr>
                  <w:rPr>
                    <w:rFonts w:ascii="DejaVu Math TeX Gyre" w:hAnsi="DejaVu Math TeX Gyre" w:cs="Times New Roman Regular"/>
                    <w:i/>
                    <w:iCs/>
                    <w:color w:val="0000FF"/>
                    <w:sz w:val="21"/>
                  </w:rPr>
                </m:ctrlPr>
              </m:sub>
              <m:sup>
                <m:r>
                  <m:rPr>
                    <m:nor/>
                  </m:rPr>
                  <w:rPr>
                    <w:rFonts w:hint="default" w:ascii="DejaVu Math TeX Gyre" w:hAnsi="DejaVu Math TeX Gyre" w:cs="Times New Roman Regular"/>
                    <w:b w:val="0"/>
                    <w:i/>
                    <w:iCs/>
                    <w:color w:val="0000FF"/>
                    <w:sz w:val="21"/>
                  </w:rPr>
                  <m:t>(j)</m:t>
                </m:r>
                <m:ctrlPr>
                  <w:rPr>
                    <w:rFonts w:ascii="DejaVu Math TeX Gyre" w:hAnsi="DejaVu Math TeX Gyre" w:cs="Times New Roman Regular"/>
                    <w:i/>
                    <w:iCs/>
                    <w:color w:val="0000FF"/>
                    <w:sz w:val="21"/>
                  </w:rPr>
                </m:ctrlPr>
              </m:sup>
            </m:sSubSup>
            <m:r>
              <m:rPr>
                <m:nor/>
              </m:rPr>
              <w:rPr>
                <w:rFonts w:hint="default" w:ascii="DejaVu Math TeX Gyre" w:hAnsi="DejaVu Math TeX Gyre" w:cs="Times New Roman Regular"/>
                <w:b w:val="0"/>
                <w:i/>
                <w:iCs/>
                <w:color w:val="0000FF"/>
                <w:sz w:val="21"/>
              </w:rPr>
              <m:t>|</m:t>
            </m:r>
            <m:ctrlPr>
              <w:rPr>
                <w:rFonts w:hint="default" w:ascii="DejaVu Math TeX Gyre" w:hAnsi="DejaVu Math TeX Gyre" w:cs="Times New Roman Regular"/>
                <w:i/>
                <w:iCs/>
                <w:color w:val="0000FF"/>
                <w:sz w:val="21"/>
              </w:rPr>
            </m:ctrlPr>
          </m:num>
          <m:den>
            <m:nary>
              <m:naryPr>
                <m:chr m:val="∑"/>
                <m:limLoc m:val="undOvr"/>
                <m:ctrlPr>
                  <w:rPr>
                    <w:rFonts w:hint="default" w:ascii="DejaVu Math TeX Gyre" w:hAnsi="DejaVu Math TeX Gyre" w:cs="Times New Roman Regular"/>
                    <w:i/>
                    <w:iCs/>
                    <w:color w:val="0000FF"/>
                    <w:sz w:val="21"/>
                  </w:rPr>
                </m:ctrlPr>
              </m:naryPr>
              <m:sub>
                <m:r>
                  <m:rPr>
                    <m:nor/>
                  </m:rPr>
                  <w:rPr>
                    <w:rFonts w:hint="default" w:ascii="DejaVu Math TeX Gyre" w:hAnsi="DejaVu Math TeX Gyre" w:cs="Times New Roman Regular"/>
                    <w:b w:val="0"/>
                    <w:i/>
                    <w:iCs/>
                    <w:color w:val="0000FF"/>
                    <w:sz w:val="21"/>
                  </w:rPr>
                  <m:t>k=1</m:t>
                </m:r>
                <m:ctrlPr>
                  <w:rPr>
                    <w:rFonts w:ascii="DejaVu Math TeX Gyre" w:hAnsi="DejaVu Math TeX Gyre" w:cs="Times New Roman Regular"/>
                    <w:i/>
                    <w:iCs/>
                    <w:color w:val="0000FF"/>
                    <w:sz w:val="21"/>
                  </w:rPr>
                </m:ctrlPr>
              </m:sub>
              <m:sup>
                <m:r>
                  <m:rPr>
                    <m:nor/>
                  </m:rPr>
                  <w:rPr>
                    <w:rFonts w:hint="default" w:ascii="DejaVu Math TeX Gyre" w:hAnsi="DejaVu Math TeX Gyre" w:cs="Times New Roman Regular"/>
                    <w:b w:val="0"/>
                    <w:i/>
                    <w:iCs/>
                    <w:color w:val="0000FF"/>
                    <w:sz w:val="21"/>
                  </w:rPr>
                  <m:t>p</m:t>
                </m:r>
                <m:ctrlPr>
                  <w:rPr>
                    <w:rFonts w:ascii="DejaVu Math TeX Gyre" w:hAnsi="DejaVu Math TeX Gyre" w:cs="Times New Roman Regular"/>
                    <w:i/>
                    <w:iCs/>
                    <w:color w:val="0000FF"/>
                    <w:sz w:val="21"/>
                  </w:rPr>
                </m:ctrlPr>
              </m:sup>
              <m:e>
                <m:f>
                  <m:fPr>
                    <m:ctrlPr>
                      <w:rPr>
                        <w:rFonts w:hint="default" w:ascii="DejaVu Math TeX Gyre" w:hAnsi="DejaVu Math TeX Gyre" w:cs="Times New Roman Regular"/>
                        <w:i/>
                        <w:iCs/>
                        <w:color w:val="0000FF"/>
                        <w:sz w:val="21"/>
                      </w:rPr>
                    </m:ctrlPr>
                  </m:fPr>
                  <m:num>
                    <m:r>
                      <m:rPr>
                        <m:nor/>
                      </m:rPr>
                      <w:rPr>
                        <w:rFonts w:hint="default" w:ascii="DejaVu Math TeX Gyre" w:hAnsi="DejaVu Math TeX Gyre" w:cs="Times New Roman Regular"/>
                        <w:b w:val="0"/>
                        <w:i/>
                        <w:iCs/>
                        <w:color w:val="0000FF"/>
                        <w:sz w:val="21"/>
                      </w:rPr>
                      <m:t>1</m:t>
                    </m:r>
                    <m:ctrlPr>
                      <w:rPr>
                        <w:rFonts w:ascii="DejaVu Math TeX Gyre" w:hAnsi="DejaVu Math TeX Gyre" w:cs="Times New Roman Regular"/>
                        <w:i/>
                        <w:iCs/>
                        <w:color w:val="0000FF"/>
                        <w:sz w:val="21"/>
                      </w:rPr>
                    </m:ctrlPr>
                  </m:num>
                  <m:den>
                    <m:r>
                      <m:rPr>
                        <m:nor/>
                      </m:rPr>
                      <w:rPr>
                        <w:rFonts w:hint="default" w:ascii="DejaVu Math TeX Gyre" w:hAnsi="DejaVu Math TeX Gyre" w:cs="Times New Roman Regular"/>
                        <w:b w:val="0"/>
                        <w:i/>
                        <w:iCs/>
                        <w:color w:val="0000FF"/>
                        <w:sz w:val="21"/>
                      </w:rPr>
                      <m:t>n</m:t>
                    </m:r>
                    <m:ctrlPr>
                      <w:rPr>
                        <w:rFonts w:ascii="DejaVu Math TeX Gyre" w:hAnsi="DejaVu Math TeX Gyre" w:cs="Times New Roman Regular"/>
                        <w:i/>
                        <w:iCs/>
                        <w:color w:val="0000FF"/>
                        <w:sz w:val="21"/>
                      </w:rPr>
                    </m:ctrlPr>
                  </m:den>
                </m:f>
                <m:ctrlPr>
                  <w:rPr>
                    <w:rFonts w:hint="default" w:ascii="DejaVu Math TeX Gyre" w:hAnsi="DejaVu Math TeX Gyre" w:cs="Times New Roman Regular"/>
                    <w:i/>
                    <w:iCs/>
                    <w:color w:val="0000FF"/>
                    <w:sz w:val="21"/>
                  </w:rPr>
                </m:ctrlPr>
              </m:e>
            </m:nary>
            <m:nary>
              <m:naryPr>
                <m:chr m:val="∑"/>
                <m:limLoc m:val="undOvr"/>
                <m:ctrlPr>
                  <w:rPr>
                    <w:rFonts w:hint="default" w:ascii="DejaVu Math TeX Gyre" w:hAnsi="DejaVu Math TeX Gyre" w:cs="Times New Roman Regular"/>
                    <w:i/>
                    <w:iCs/>
                    <w:color w:val="0000FF"/>
                    <w:sz w:val="21"/>
                  </w:rPr>
                </m:ctrlPr>
              </m:naryPr>
              <m:sub>
                <m:r>
                  <m:rPr>
                    <m:nor/>
                  </m:rPr>
                  <w:rPr>
                    <w:rFonts w:hint="default" w:ascii="DejaVu Math TeX Gyre" w:hAnsi="DejaVu Math TeX Gyre" w:cs="Times New Roman Regular"/>
                    <w:b w:val="0"/>
                    <w:i/>
                    <w:iCs/>
                    <w:color w:val="0000FF"/>
                    <w:sz w:val="21"/>
                  </w:rPr>
                  <m:t>j=1</m:t>
                </m:r>
                <m:ctrlPr>
                  <w:rPr>
                    <w:rFonts w:hint="default" w:ascii="DejaVu Math TeX Gyre" w:hAnsi="DejaVu Math TeX Gyre" w:cs="Times New Roman Regular"/>
                    <w:i/>
                    <w:iCs/>
                    <w:color w:val="0000FF"/>
                    <w:sz w:val="21"/>
                  </w:rPr>
                </m:ctrlPr>
              </m:sub>
              <m:sup>
                <m:r>
                  <m:rPr>
                    <m:nor/>
                  </m:rPr>
                  <w:rPr>
                    <w:rFonts w:hint="default" w:ascii="DejaVu Math TeX Gyre" w:hAnsi="DejaVu Math TeX Gyre" w:cs="Times New Roman Regular"/>
                    <w:b w:val="0"/>
                    <w:i/>
                    <w:iCs/>
                    <w:color w:val="0000FF"/>
                    <w:sz w:val="21"/>
                  </w:rPr>
                  <m:t>n</m:t>
                </m:r>
                <m:ctrlPr>
                  <w:rPr>
                    <w:rFonts w:hint="default" w:ascii="DejaVu Math TeX Gyre" w:hAnsi="DejaVu Math TeX Gyre" w:cs="Times New Roman Regular"/>
                    <w:i/>
                    <w:iCs/>
                    <w:color w:val="0000FF"/>
                    <w:sz w:val="21"/>
                  </w:rPr>
                </m:ctrlPr>
              </m:sup>
              <m:e>
                <m:r>
                  <m:rPr>
                    <m:nor/>
                  </m:rPr>
                  <w:rPr>
                    <w:rFonts w:hint="default" w:ascii="DejaVu Math TeX Gyre" w:hAnsi="DejaVu Math TeX Gyre" w:cs="Times New Roman Regular"/>
                    <w:b w:val="0"/>
                    <w:i/>
                    <w:iCs/>
                    <w:color w:val="0000FF"/>
                    <w:sz w:val="21"/>
                  </w:rPr>
                  <m:t>|</m:t>
                </m:r>
                <m:ctrlPr>
                  <w:rPr>
                    <w:rFonts w:hint="default" w:ascii="DejaVu Math TeX Gyre" w:hAnsi="DejaVu Math TeX Gyre" w:cs="Times New Roman Regular"/>
                    <w:i/>
                    <w:iCs/>
                    <w:color w:val="0000FF"/>
                    <w:sz w:val="21"/>
                  </w:rPr>
                </m:ctrlPr>
              </m:e>
            </m:nary>
            <m:sSubSup>
              <m:sSubSupPr>
                <m:ctrlPr>
                  <w:rPr>
                    <w:rFonts w:hint="default" w:ascii="DejaVu Math TeX Gyre" w:hAnsi="DejaVu Math TeX Gyre" w:cs="Times New Roman Regular"/>
                    <w:i/>
                    <w:iCs/>
                    <w:color w:val="0000FF"/>
                    <w:sz w:val="21"/>
                  </w:rPr>
                </m:ctrlPr>
              </m:sSubSupPr>
              <m:e>
                <m:r>
                  <m:rPr>
                    <m:nor/>
                  </m:rPr>
                  <w:rPr>
                    <w:rFonts w:hint="default" w:ascii="DejaVu Math TeX Gyre" w:hAnsi="DejaVu Math TeX Gyre" w:cs="Times New Roman Regular"/>
                    <w:b w:val="0"/>
                    <w:i/>
                    <w:iCs/>
                    <w:color w:val="0000FF"/>
                    <w:sz w:val="21"/>
                  </w:rPr>
                  <m:t>ϕ</m:t>
                </m:r>
                <m:ctrlPr>
                  <w:rPr>
                    <w:rFonts w:hint="default"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k</m:t>
                </m:r>
                <m:ctrlPr>
                  <w:rPr>
                    <w:rFonts w:hint="default" w:ascii="DejaVu Math TeX Gyre" w:hAnsi="DejaVu Math TeX Gyre" w:cs="Times New Roman Regular"/>
                    <w:i/>
                    <w:iCs/>
                    <w:color w:val="0000FF"/>
                    <w:sz w:val="21"/>
                  </w:rPr>
                </m:ctrlPr>
              </m:sub>
              <m:sup>
                <m:r>
                  <m:rPr>
                    <m:nor/>
                  </m:rPr>
                  <w:rPr>
                    <w:rFonts w:hint="default" w:ascii="DejaVu Math TeX Gyre" w:hAnsi="DejaVu Math TeX Gyre" w:cs="Times New Roman Regular"/>
                    <w:b w:val="0"/>
                    <w:i/>
                    <w:iCs/>
                    <w:color w:val="0000FF"/>
                    <w:sz w:val="21"/>
                  </w:rPr>
                  <m:t>(j)</m:t>
                </m:r>
                <m:ctrlPr>
                  <w:rPr>
                    <w:rFonts w:hint="default" w:ascii="DejaVu Math TeX Gyre" w:hAnsi="DejaVu Math TeX Gyre" w:cs="Times New Roman Regular"/>
                    <w:i/>
                    <w:iCs/>
                    <w:color w:val="0000FF"/>
                    <w:sz w:val="21"/>
                  </w:rPr>
                </m:ctrlPr>
              </m:sup>
            </m:sSubSup>
            <m:r>
              <m:rPr>
                <m:nor/>
              </m:rPr>
              <w:rPr>
                <w:rFonts w:hint="default" w:ascii="DejaVu Math TeX Gyre" w:hAnsi="DejaVu Math TeX Gyre" w:cs="Times New Roman Regular"/>
                <w:b w:val="0"/>
                <w:i/>
                <w:iCs/>
                <w:color w:val="0000FF"/>
                <w:sz w:val="21"/>
              </w:rPr>
              <m:t>|</m:t>
            </m:r>
            <m:ctrlPr>
              <w:rPr>
                <w:rFonts w:hint="default" w:ascii="DejaVu Math TeX Gyre" w:hAnsi="DejaVu Math TeX Gyre" w:cs="Times New Roman Regular"/>
                <w:i/>
                <w:iCs/>
                <w:color w:val="0000FF"/>
                <w:sz w:val="21"/>
              </w:rPr>
            </m:ctrlPr>
          </m:den>
        </m:f>
      </m:oMath>
      <w:r>
        <w:rPr>
          <w:rFonts w:hint="default" w:hAnsi="DejaVu Math TeX Gyre" w:cs="Times New Roman Regular"/>
          <w:i/>
          <w:iCs/>
          <w:color w:val="0000FF"/>
          <w:sz w:val="21"/>
          <w:lang w:val="en-US"/>
        </w:rPr>
        <w:t xml:space="preserve"> </w:t>
      </w:r>
      <w:r>
        <w:rPr>
          <w:rFonts w:hint="default" w:hAnsi="DejaVu Math TeX Gyre" w:cs="Times New Roman Regular"/>
          <w:i w:val="0"/>
          <w:color w:val="0000FF"/>
          <w:sz w:val="21"/>
          <w:lang w:val="en-US"/>
        </w:rPr>
        <w:t xml:space="preserve">                           </w:t>
      </w:r>
      <w:r>
        <w:rPr>
          <w:rFonts w:hint="default" w:ascii="Times New Roman Regular" w:hAnsi="Times New Roman Regular" w:cs="Times New Roman Regular"/>
          <w:i w:val="0"/>
          <w:color w:val="0000FF"/>
          <w:sz w:val="21"/>
          <w:lang w:val="en-US"/>
        </w:rPr>
        <w:t>(21)</w:t>
      </w:r>
    </w:p>
    <w:p w14:paraId="48992FF9">
      <w:pPr>
        <w:spacing w:line="300" w:lineRule="auto"/>
        <w:ind w:firstLine="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 xml:space="preserve">where </w:t>
      </w:r>
      <m:oMath>
        <m:sSubSup>
          <m:sSubSupPr>
            <m:ctrlPr>
              <w:rPr>
                <w:rFonts w:hint="default" w:ascii="DejaVu Math TeX Gyre" w:hAnsi="DejaVu Math TeX Gyre" w:cs="Times New Roman Regular"/>
                <w:color w:val="0000FF"/>
                <w:sz w:val="21"/>
              </w:rPr>
            </m:ctrlPr>
          </m:sSubSupPr>
          <m:e>
            <m:r>
              <m:rPr>
                <m:nor/>
                <m:sty m:val="p"/>
              </m:rPr>
              <w:rPr>
                <w:rFonts w:hint="default" w:ascii="DejaVu Math TeX Gyre" w:hAnsi="DejaVu Math TeX Gyre" w:cs="Times New Roman Regular"/>
                <w:b w:val="0"/>
                <w:i w:val="0"/>
                <w:color w:val="0000FF"/>
                <w:sz w:val="21"/>
              </w:rPr>
              <m:t>ϕ</m:t>
            </m:r>
            <m:ctrlPr>
              <w:rPr>
                <w:rFonts w:ascii="DejaVu Math TeX Gyre" w:hAnsi="DejaVu Math TeX Gyre" w:cs="Times New Roman Regular"/>
                <w:color w:val="0000FF"/>
                <w:sz w:val="21"/>
              </w:rPr>
            </m:ctrlPr>
          </m:e>
          <m:sub>
            <m:r>
              <m:rPr>
                <m:nor/>
                <m:sty m:val="p"/>
              </m:rPr>
              <w:rPr>
                <w:rFonts w:hint="default" w:ascii="DejaVu Math TeX Gyre" w:hAnsi="DejaVu Math TeX Gyre" w:cs="Times New Roman Regular"/>
                <w:b w:val="0"/>
                <w:i w:val="0"/>
                <w:color w:val="0000FF"/>
                <w:sz w:val="21"/>
              </w:rPr>
              <m:t>i</m:t>
            </m:r>
            <m:ctrlPr>
              <w:rPr>
                <w:rFonts w:ascii="DejaVu Math TeX Gyre" w:hAnsi="DejaVu Math TeX Gyre" w:cs="Times New Roman Regular"/>
                <w:color w:val="0000FF"/>
                <w:sz w:val="21"/>
              </w:rPr>
            </m:ctrlPr>
          </m:sub>
          <m:sup>
            <m:r>
              <m:rPr>
                <m:nor/>
                <m:sty m:val="p"/>
              </m:rPr>
              <w:rPr>
                <w:rFonts w:hint="default" w:ascii="DejaVu Math TeX Gyre" w:hAnsi="DejaVu Math TeX Gyre" w:cs="Times New Roman Regular"/>
                <w:b w:val="0"/>
                <w:i w:val="0"/>
                <w:color w:val="0000FF"/>
                <w:sz w:val="21"/>
              </w:rPr>
              <m:t>(j)</m:t>
            </m:r>
            <m:ctrlPr>
              <w:rPr>
                <w:rFonts w:ascii="DejaVu Math TeX Gyre" w:hAnsi="DejaVu Math TeX Gyre" w:cs="Times New Roman Regular"/>
                <w:color w:val="0000FF"/>
                <w:sz w:val="21"/>
              </w:rPr>
            </m:ctrlPr>
          </m:sup>
        </m:sSubSup>
      </m:oMath>
      <w:r>
        <w:rPr>
          <w:rFonts w:hint="eastAsia" w:ascii="Times New Roman Regular" w:hAnsi="Times New Roman Regular" w:cs="Times New Roman Regular"/>
          <w:color w:val="0000FF"/>
        </w:rPr>
        <w:t xml:space="preserve"> is the SHAP value of feature i for sample j, n</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is the number of samples, and p is the number of features. The total-order sensitivity index</w:t>
      </w:r>
      <w:r>
        <w:rPr>
          <w:rFonts w:hint="default" w:ascii="Times New Roman Regular" w:hAnsi="Times New Roman Regular" w:cs="Times New Roman Regular"/>
          <w:color w:val="0000FF"/>
          <w:lang w:val="en-US"/>
        </w:rPr>
        <w:t xml:space="preserve"> </w:t>
      </w:r>
      <m:oMath>
        <m:sSub>
          <m:sSubPr>
            <m:ctrlPr>
              <w:rPr>
                <w:rFonts w:hint="default" w:ascii="DejaVu Math TeX Gyre" w:hAnsi="DejaVu Math TeX Gyre" w:cs="Times New Roman Regular"/>
                <w:color w:val="0000FF"/>
                <w:sz w:val="21"/>
              </w:rPr>
            </m:ctrlPr>
          </m:sSubPr>
          <m:e>
            <m:r>
              <m:rPr>
                <m:nor/>
                <m:sty m:val="p"/>
              </m:rPr>
              <w:rPr>
                <w:rFonts w:hint="default" w:ascii="DejaVu Math TeX Gyre" w:hAnsi="DejaVu Math TeX Gyre" w:cs="Times New Roman Regular"/>
                <w:b w:val="0"/>
                <w:i w:val="0"/>
                <w:color w:val="0000FF"/>
                <w:sz w:val="21"/>
              </w:rPr>
              <m:t>S</m:t>
            </m:r>
            <m:ctrlPr>
              <w:rPr>
                <w:rFonts w:ascii="DejaVu Math TeX Gyre" w:hAnsi="DejaVu Math TeX Gyre" w:cs="Times New Roman Regular"/>
                <w:color w:val="0000FF"/>
                <w:sz w:val="21"/>
              </w:rPr>
            </m:ctrlPr>
          </m:e>
          <m:sub>
            <m:r>
              <m:rPr>
                <m:nor/>
                <m:sty m:val="p"/>
              </m:rPr>
              <w:rPr>
                <w:rFonts w:hint="default" w:ascii="DejaVu Math TeX Gyre" w:hAnsi="DejaVu Math TeX Gyre" w:cs="Times New Roman Regular"/>
                <w:b w:val="0"/>
                <w:i w:val="0"/>
                <w:color w:val="0000FF"/>
                <w:sz w:val="21"/>
              </w:rPr>
              <m:t>Ti</m:t>
            </m:r>
            <m:ctrlPr>
              <w:rPr>
                <w:rFonts w:ascii="DejaVu Math TeX Gyre" w:hAnsi="DejaVu Math TeX Gyre" w:cs="Times New Roman Regular"/>
                <w:color w:val="0000FF"/>
                <w:sz w:val="21"/>
              </w:rPr>
            </m:ctrlPr>
          </m:sub>
        </m:sSub>
      </m:oMath>
      <w:r>
        <w:rPr>
          <w:rFonts w:hint="eastAsia" w:ascii="Times New Roman Regular" w:hAnsi="Times New Roman Regular" w:cs="Times New Roman Regular"/>
          <w:color w:val="0000FF"/>
        </w:rPr>
        <w:t>, which captures both main effects and interaction effects, was approximated using the diagonal elements of the SHAP interaction values:</w:t>
      </w:r>
    </w:p>
    <w:p w14:paraId="2B0E03DA">
      <w:pPr>
        <w:spacing w:line="300" w:lineRule="auto"/>
        <w:jc w:val="right"/>
        <w:rPr>
          <w:rFonts w:hint="default" w:ascii="Times New Roman Regular" w:hAnsi="Times New Roman Regular" w:cs="Times New Roman Regular"/>
          <w:color w:val="0000FF"/>
          <w:lang w:val="en-US"/>
        </w:rPr>
      </w:pPr>
      <m:oMath>
        <m:sSub>
          <m:sSubPr>
            <m:ctrlPr>
              <w:rPr>
                <w:rFonts w:hint="default" w:ascii="DejaVu Math TeX Gyre" w:hAnsi="DejaVu Math TeX Gyre"/>
                <w:i/>
                <w:iCs/>
                <w:color w:val="0000FF"/>
                <w:sz w:val="21"/>
              </w:rPr>
            </m:ctrlPr>
          </m:sSubPr>
          <m:e>
            <m:r>
              <m:rPr/>
              <w:rPr>
                <w:rFonts w:hint="default" w:ascii="DejaVu Math TeX Gyre" w:hAnsi="DejaVu Math TeX Gyre"/>
                <w:color w:val="0000FF"/>
                <w:sz w:val="21"/>
              </w:rPr>
              <m:t>S</m:t>
            </m:r>
            <m:ctrlPr>
              <w:rPr>
                <w:rFonts w:ascii="DejaVu Math TeX Gyre" w:hAnsi="DejaVu Math TeX Gyre"/>
                <w:i/>
                <w:iCs/>
                <w:color w:val="0000FF"/>
                <w:sz w:val="21"/>
              </w:rPr>
            </m:ctrlPr>
          </m:e>
          <m:sub>
            <m:r>
              <m:rPr/>
              <w:rPr>
                <w:rFonts w:hint="default" w:ascii="DejaVu Math TeX Gyre" w:hAnsi="DejaVu Math TeX Gyre"/>
                <w:color w:val="0000FF"/>
                <w:sz w:val="21"/>
              </w:rPr>
              <m:t>Ti</m:t>
            </m:r>
            <m:ctrlPr>
              <w:rPr>
                <w:rFonts w:ascii="DejaVu Math TeX Gyre" w:hAnsi="DejaVu Math TeX Gyre"/>
                <w:i/>
                <w:iCs/>
                <w:color w:val="0000FF"/>
                <w:sz w:val="21"/>
              </w:rPr>
            </m:ctrlPr>
          </m:sub>
        </m:sSub>
        <m:r>
          <m:rPr/>
          <w:rPr>
            <w:rFonts w:hint="default" w:ascii="DejaVu Math TeX Gyre" w:hAnsi="DejaVu Math TeX Gyre"/>
            <w:color w:val="0000FF"/>
            <w:sz w:val="21"/>
          </w:rPr>
          <m:t>=</m:t>
        </m:r>
        <m:f>
          <m:fPr>
            <m:ctrlPr>
              <w:rPr>
                <w:rFonts w:hint="default" w:ascii="DejaVu Math TeX Gyre" w:hAnsi="DejaVu Math TeX Gyre"/>
                <w:i/>
                <w:iCs/>
                <w:color w:val="0000FF"/>
                <w:sz w:val="21"/>
              </w:rPr>
            </m:ctrlPr>
          </m:fPr>
          <m:num>
            <m:f>
              <m:fPr>
                <m:ctrlPr>
                  <w:rPr>
                    <w:rFonts w:hint="default" w:ascii="DejaVu Math TeX Gyre" w:hAnsi="DejaVu Math TeX Gyre"/>
                    <w:i/>
                    <w:iCs/>
                    <w:color w:val="0000FF"/>
                    <w:sz w:val="21"/>
                  </w:rPr>
                </m:ctrlPr>
              </m:fPr>
              <m:num>
                <m:r>
                  <m:rPr/>
                  <w:rPr>
                    <w:rFonts w:hint="default" w:ascii="DejaVu Math TeX Gyre" w:hAnsi="DejaVu Math TeX Gyre"/>
                    <w:color w:val="0000FF"/>
                    <w:sz w:val="21"/>
                  </w:rPr>
                  <m:t>1</m:t>
                </m:r>
                <m:ctrlPr>
                  <w:rPr>
                    <w:rFonts w:ascii="DejaVu Math TeX Gyre" w:hAnsi="DejaVu Math TeX Gyre"/>
                    <w:i/>
                    <w:iCs/>
                    <w:color w:val="0000FF"/>
                    <w:sz w:val="21"/>
                  </w:rPr>
                </m:ctrlPr>
              </m:num>
              <m:den>
                <m:r>
                  <m:rPr/>
                  <w:rPr>
                    <w:rFonts w:hint="default" w:ascii="DejaVu Math TeX Gyre" w:hAnsi="DejaVu Math TeX Gyre"/>
                    <w:color w:val="0000FF"/>
                    <w:sz w:val="21"/>
                  </w:rPr>
                  <m:t>n</m:t>
                </m:r>
                <m:ctrlPr>
                  <w:rPr>
                    <w:rFonts w:ascii="DejaVu Math TeX Gyre" w:hAnsi="DejaVu Math TeX Gyre"/>
                    <w:i/>
                    <w:iCs/>
                    <w:color w:val="0000FF"/>
                    <w:sz w:val="21"/>
                  </w:rPr>
                </m:ctrlPr>
              </m:den>
            </m:f>
            <m:nary>
              <m:naryPr>
                <m:chr m:val="∑"/>
                <m:limLoc m:val="undOvr"/>
                <m:ctrlPr>
                  <w:rPr>
                    <w:rFonts w:hint="default" w:ascii="DejaVu Math TeX Gyre" w:hAnsi="DejaVu Math TeX Gyre"/>
                    <w:i/>
                    <w:iCs/>
                    <w:color w:val="0000FF"/>
                    <w:sz w:val="21"/>
                  </w:rPr>
                </m:ctrlPr>
              </m:naryPr>
              <m:sub>
                <m:r>
                  <m:rPr/>
                  <w:rPr>
                    <w:rFonts w:hint="default" w:ascii="DejaVu Math TeX Gyre" w:hAnsi="DejaVu Math TeX Gyre"/>
                    <w:color w:val="0000FF"/>
                    <w:sz w:val="21"/>
                  </w:rPr>
                  <m:t>j=1</m:t>
                </m:r>
                <m:ctrlPr>
                  <w:rPr>
                    <w:rFonts w:ascii="DejaVu Math TeX Gyre" w:hAnsi="DejaVu Math TeX Gyre"/>
                    <w:i/>
                    <w:iCs/>
                    <w:color w:val="0000FF"/>
                    <w:sz w:val="21"/>
                  </w:rPr>
                </m:ctrlPr>
              </m:sub>
              <m:sup>
                <m:r>
                  <m:rPr/>
                  <w:rPr>
                    <w:rFonts w:hint="default" w:ascii="DejaVu Math TeX Gyre" w:hAnsi="DejaVu Math TeX Gyre"/>
                    <w:color w:val="0000FF"/>
                    <w:sz w:val="21"/>
                  </w:rPr>
                  <m:t>n</m:t>
                </m:r>
                <m:ctrlPr>
                  <w:rPr>
                    <w:rFonts w:ascii="DejaVu Math TeX Gyre" w:hAnsi="DejaVu Math TeX Gyre"/>
                    <w:i/>
                    <w:iCs/>
                    <w:color w:val="0000FF"/>
                    <w:sz w:val="21"/>
                  </w:rPr>
                </m:ctrlPr>
              </m:sup>
              <m:e>
                <m:r>
                  <m:rPr/>
                  <w:rPr>
                    <w:rFonts w:hint="default" w:ascii="DejaVu Math TeX Gyre" w:hAnsi="DejaVu Math TeX Gyre"/>
                    <w:color w:val="0000FF"/>
                    <w:sz w:val="21"/>
                  </w:rPr>
                  <m:t>|</m:t>
                </m:r>
                <m:ctrlPr>
                  <w:rPr>
                    <w:rFonts w:ascii="DejaVu Math TeX Gyre" w:hAnsi="DejaVu Math TeX Gyre"/>
                    <w:i/>
                    <w:iCs/>
                    <w:color w:val="0000FF"/>
                    <w:sz w:val="21"/>
                  </w:rPr>
                </m:ctrlPr>
              </m:e>
            </m:nary>
            <m:sSubSup>
              <m:sSubSupPr>
                <m:ctrlPr>
                  <w:rPr>
                    <w:rFonts w:hint="default" w:ascii="DejaVu Math TeX Gyre" w:hAnsi="DejaVu Math TeX Gyre"/>
                    <w:i/>
                    <w:iCs/>
                    <w:color w:val="0000FF"/>
                    <w:sz w:val="21"/>
                  </w:rPr>
                </m:ctrlPr>
              </m:sSubSupPr>
              <m:e>
                <m:r>
                  <m:rPr/>
                  <w:rPr>
                    <w:rFonts w:hint="default" w:ascii="DejaVu Math TeX Gyre" w:hAnsi="DejaVu Math TeX Gyre"/>
                    <w:color w:val="0000FF"/>
                    <w:sz w:val="21"/>
                  </w:rPr>
                  <m:t>Φ</m:t>
                </m:r>
                <m:ctrlPr>
                  <w:rPr>
                    <w:rFonts w:ascii="DejaVu Math TeX Gyre" w:hAnsi="DejaVu Math TeX Gyre"/>
                    <w:i/>
                    <w:iCs/>
                    <w:color w:val="0000FF"/>
                    <w:sz w:val="21"/>
                  </w:rPr>
                </m:ctrlPr>
              </m:e>
              <m:sub>
                <m:r>
                  <m:rPr/>
                  <w:rPr>
                    <w:rFonts w:hint="default" w:ascii="DejaVu Math TeX Gyre" w:hAnsi="DejaVu Math TeX Gyre"/>
                    <w:color w:val="0000FF"/>
                    <w:sz w:val="21"/>
                  </w:rPr>
                  <m:t>i,i</m:t>
                </m:r>
                <m:ctrlPr>
                  <w:rPr>
                    <w:rFonts w:ascii="DejaVu Math TeX Gyre" w:hAnsi="DejaVu Math TeX Gyre"/>
                    <w:i/>
                    <w:iCs/>
                    <w:color w:val="0000FF"/>
                    <w:sz w:val="21"/>
                  </w:rPr>
                </m:ctrlPr>
              </m:sub>
              <m:sup>
                <m:r>
                  <m:rPr/>
                  <w:rPr>
                    <w:rFonts w:hint="default" w:ascii="DejaVu Math TeX Gyre" w:hAnsi="DejaVu Math TeX Gyre"/>
                    <w:color w:val="0000FF"/>
                    <w:sz w:val="21"/>
                  </w:rPr>
                  <m:t>(j)</m:t>
                </m:r>
                <m:ctrlPr>
                  <w:rPr>
                    <w:rFonts w:ascii="DejaVu Math TeX Gyre" w:hAnsi="DejaVu Math TeX Gyre"/>
                    <w:i/>
                    <w:iCs/>
                    <w:color w:val="0000FF"/>
                    <w:sz w:val="21"/>
                  </w:rPr>
                </m:ctrlPr>
              </m:sup>
            </m:sSubSup>
            <m:r>
              <m:rPr/>
              <w:rPr>
                <w:rFonts w:hint="default" w:ascii="DejaVu Math TeX Gyre" w:hAnsi="DejaVu Math TeX Gyre"/>
                <w:color w:val="0000FF"/>
                <w:sz w:val="21"/>
              </w:rPr>
              <m:t>|</m:t>
            </m:r>
            <m:ctrlPr>
              <w:rPr>
                <w:rFonts w:hint="default" w:ascii="DejaVu Math TeX Gyre" w:hAnsi="DejaVu Math TeX Gyre"/>
                <w:i/>
                <w:iCs/>
                <w:color w:val="0000FF"/>
                <w:sz w:val="21"/>
              </w:rPr>
            </m:ctrlPr>
          </m:num>
          <m:den>
            <m:nary>
              <m:naryPr>
                <m:chr m:val="∑"/>
                <m:limLoc m:val="undOvr"/>
                <m:ctrlPr>
                  <w:rPr>
                    <w:rFonts w:hint="default" w:ascii="DejaVu Math TeX Gyre" w:hAnsi="DejaVu Math TeX Gyre"/>
                    <w:i/>
                    <w:iCs/>
                    <w:color w:val="0000FF"/>
                    <w:sz w:val="21"/>
                  </w:rPr>
                </m:ctrlPr>
              </m:naryPr>
              <m:sub>
                <m:r>
                  <m:rPr/>
                  <w:rPr>
                    <w:rFonts w:hint="default" w:ascii="DejaVu Math TeX Gyre" w:hAnsi="DejaVu Math TeX Gyre"/>
                    <w:color w:val="0000FF"/>
                    <w:sz w:val="21"/>
                  </w:rPr>
                  <m:t>k=1</m:t>
                </m:r>
                <m:ctrlPr>
                  <w:rPr>
                    <w:rFonts w:ascii="DejaVu Math TeX Gyre" w:hAnsi="DejaVu Math TeX Gyre"/>
                    <w:i/>
                    <w:iCs/>
                    <w:color w:val="0000FF"/>
                    <w:sz w:val="21"/>
                  </w:rPr>
                </m:ctrlPr>
              </m:sub>
              <m:sup>
                <m:r>
                  <m:rPr/>
                  <w:rPr>
                    <w:rFonts w:hint="default" w:ascii="DejaVu Math TeX Gyre" w:hAnsi="DejaVu Math TeX Gyre"/>
                    <w:color w:val="0000FF"/>
                    <w:sz w:val="21"/>
                  </w:rPr>
                  <m:t>p</m:t>
                </m:r>
                <m:ctrlPr>
                  <w:rPr>
                    <w:rFonts w:ascii="DejaVu Math TeX Gyre" w:hAnsi="DejaVu Math TeX Gyre"/>
                    <w:i/>
                    <w:iCs/>
                    <w:color w:val="0000FF"/>
                    <w:sz w:val="21"/>
                  </w:rPr>
                </m:ctrlPr>
              </m:sup>
              <m:e>
                <m:f>
                  <m:fPr>
                    <m:ctrlPr>
                      <w:rPr>
                        <w:rFonts w:hint="default" w:ascii="DejaVu Math TeX Gyre" w:hAnsi="DejaVu Math TeX Gyre"/>
                        <w:i/>
                        <w:iCs/>
                        <w:color w:val="0000FF"/>
                        <w:sz w:val="21"/>
                      </w:rPr>
                    </m:ctrlPr>
                  </m:fPr>
                  <m:num>
                    <m:r>
                      <m:rPr/>
                      <w:rPr>
                        <w:rFonts w:hint="default" w:ascii="DejaVu Math TeX Gyre" w:hAnsi="DejaVu Math TeX Gyre"/>
                        <w:color w:val="0000FF"/>
                        <w:sz w:val="21"/>
                      </w:rPr>
                      <m:t>1</m:t>
                    </m:r>
                    <m:ctrlPr>
                      <w:rPr>
                        <w:rFonts w:ascii="DejaVu Math TeX Gyre" w:hAnsi="DejaVu Math TeX Gyre"/>
                        <w:i/>
                        <w:iCs/>
                        <w:color w:val="0000FF"/>
                        <w:sz w:val="21"/>
                      </w:rPr>
                    </m:ctrlPr>
                  </m:num>
                  <m:den>
                    <m:r>
                      <m:rPr/>
                      <w:rPr>
                        <w:rFonts w:hint="default" w:ascii="DejaVu Math TeX Gyre" w:hAnsi="DejaVu Math TeX Gyre"/>
                        <w:color w:val="0000FF"/>
                        <w:sz w:val="21"/>
                      </w:rPr>
                      <m:t>n</m:t>
                    </m:r>
                    <m:ctrlPr>
                      <w:rPr>
                        <w:rFonts w:ascii="DejaVu Math TeX Gyre" w:hAnsi="DejaVu Math TeX Gyre"/>
                        <w:i/>
                        <w:iCs/>
                        <w:color w:val="0000FF"/>
                        <w:sz w:val="21"/>
                      </w:rPr>
                    </m:ctrlPr>
                  </m:den>
                </m:f>
                <m:ctrlPr>
                  <w:rPr>
                    <w:rFonts w:hint="default" w:ascii="DejaVu Math TeX Gyre" w:hAnsi="DejaVu Math TeX Gyre"/>
                    <w:i/>
                    <w:iCs/>
                    <w:color w:val="0000FF"/>
                    <w:sz w:val="21"/>
                  </w:rPr>
                </m:ctrlPr>
              </m:e>
            </m:nary>
            <m:nary>
              <m:naryPr>
                <m:chr m:val="∑"/>
                <m:limLoc m:val="undOvr"/>
                <m:ctrlPr>
                  <w:rPr>
                    <w:rFonts w:hint="default" w:ascii="DejaVu Math TeX Gyre" w:hAnsi="DejaVu Math TeX Gyre"/>
                    <w:i/>
                    <w:iCs/>
                    <w:color w:val="0000FF"/>
                    <w:sz w:val="21"/>
                  </w:rPr>
                </m:ctrlPr>
              </m:naryPr>
              <m:sub>
                <m:r>
                  <m:rPr/>
                  <w:rPr>
                    <w:rFonts w:hint="default" w:ascii="DejaVu Math TeX Gyre" w:hAnsi="DejaVu Math TeX Gyre"/>
                    <w:color w:val="0000FF"/>
                    <w:sz w:val="21"/>
                  </w:rPr>
                  <m:t>j=1</m:t>
                </m:r>
                <m:ctrlPr>
                  <w:rPr>
                    <w:rFonts w:hint="default" w:ascii="DejaVu Math TeX Gyre" w:hAnsi="DejaVu Math TeX Gyre"/>
                    <w:i/>
                    <w:iCs/>
                    <w:color w:val="0000FF"/>
                    <w:sz w:val="21"/>
                  </w:rPr>
                </m:ctrlPr>
              </m:sub>
              <m:sup>
                <m:r>
                  <m:rPr/>
                  <w:rPr>
                    <w:rFonts w:hint="default" w:ascii="DejaVu Math TeX Gyre" w:hAnsi="DejaVu Math TeX Gyre"/>
                    <w:color w:val="0000FF"/>
                    <w:sz w:val="21"/>
                  </w:rPr>
                  <m:t>n</m:t>
                </m:r>
                <m:ctrlPr>
                  <w:rPr>
                    <w:rFonts w:hint="default" w:ascii="DejaVu Math TeX Gyre" w:hAnsi="DejaVu Math TeX Gyre"/>
                    <w:i/>
                    <w:iCs/>
                    <w:color w:val="0000FF"/>
                    <w:sz w:val="21"/>
                  </w:rPr>
                </m:ctrlPr>
              </m:sup>
              <m:e>
                <m:r>
                  <m:rPr/>
                  <w:rPr>
                    <w:rFonts w:hint="default" w:ascii="DejaVu Math TeX Gyre" w:hAnsi="DejaVu Math TeX Gyre"/>
                    <w:color w:val="0000FF"/>
                    <w:sz w:val="21"/>
                  </w:rPr>
                  <m:t>|</m:t>
                </m:r>
                <m:ctrlPr>
                  <w:rPr>
                    <w:rFonts w:hint="default" w:ascii="DejaVu Math TeX Gyre" w:hAnsi="DejaVu Math TeX Gyre"/>
                    <w:i/>
                    <w:iCs/>
                    <w:color w:val="0000FF"/>
                    <w:sz w:val="21"/>
                  </w:rPr>
                </m:ctrlPr>
              </m:e>
            </m:nary>
            <m:sSubSup>
              <m:sSubSupPr>
                <m:ctrlPr>
                  <w:rPr>
                    <w:rFonts w:hint="default" w:ascii="DejaVu Math TeX Gyre" w:hAnsi="DejaVu Math TeX Gyre"/>
                    <w:i/>
                    <w:iCs/>
                    <w:color w:val="0000FF"/>
                    <w:sz w:val="21"/>
                  </w:rPr>
                </m:ctrlPr>
              </m:sSubSupPr>
              <m:e>
                <m:r>
                  <m:rPr/>
                  <w:rPr>
                    <w:rFonts w:hint="default" w:ascii="DejaVu Math TeX Gyre" w:hAnsi="DejaVu Math TeX Gyre"/>
                    <w:color w:val="0000FF"/>
                    <w:sz w:val="21"/>
                  </w:rPr>
                  <m:t>Φ</m:t>
                </m:r>
                <m:ctrlPr>
                  <w:rPr>
                    <w:rFonts w:hint="default" w:ascii="DejaVu Math TeX Gyre" w:hAnsi="DejaVu Math TeX Gyre"/>
                    <w:i/>
                    <w:iCs/>
                    <w:color w:val="0000FF"/>
                    <w:sz w:val="21"/>
                  </w:rPr>
                </m:ctrlPr>
              </m:e>
              <m:sub>
                <m:r>
                  <m:rPr/>
                  <w:rPr>
                    <w:rFonts w:hint="default" w:ascii="DejaVu Math TeX Gyre" w:hAnsi="DejaVu Math TeX Gyre"/>
                    <w:color w:val="0000FF"/>
                    <w:sz w:val="21"/>
                  </w:rPr>
                  <m:t>k,k</m:t>
                </m:r>
                <m:ctrlPr>
                  <w:rPr>
                    <w:rFonts w:hint="default" w:ascii="DejaVu Math TeX Gyre" w:hAnsi="DejaVu Math TeX Gyre"/>
                    <w:i/>
                    <w:iCs/>
                    <w:color w:val="0000FF"/>
                    <w:sz w:val="21"/>
                  </w:rPr>
                </m:ctrlPr>
              </m:sub>
              <m:sup>
                <m:r>
                  <m:rPr/>
                  <w:rPr>
                    <w:rFonts w:hint="default" w:ascii="DejaVu Math TeX Gyre" w:hAnsi="DejaVu Math TeX Gyre"/>
                    <w:color w:val="0000FF"/>
                    <w:sz w:val="21"/>
                  </w:rPr>
                  <m:t>(j)</m:t>
                </m:r>
                <m:ctrlPr>
                  <w:rPr>
                    <w:rFonts w:hint="default" w:ascii="DejaVu Math TeX Gyre" w:hAnsi="DejaVu Math TeX Gyre"/>
                    <w:i/>
                    <w:iCs/>
                    <w:color w:val="0000FF"/>
                    <w:sz w:val="21"/>
                  </w:rPr>
                </m:ctrlPr>
              </m:sup>
            </m:sSubSup>
            <m:ctrlPr>
              <w:rPr>
                <w:rFonts w:hint="default" w:ascii="DejaVu Math TeX Gyre" w:hAnsi="DejaVu Math TeX Gyre"/>
                <w:i/>
                <w:iCs/>
                <w:color w:val="0000FF"/>
                <w:sz w:val="21"/>
              </w:rPr>
            </m:ctrlPr>
          </m:den>
        </m:f>
      </m:oMath>
      <w:r>
        <w:rPr>
          <w:rFonts w:hint="default" w:hAnsi="DejaVu Math TeX Gyre"/>
          <w:i/>
          <w:iCs/>
          <w:color w:val="0000FF"/>
          <w:sz w:val="21"/>
          <w:lang w:val="en-US"/>
        </w:rPr>
        <w:t xml:space="preserve"> </w:t>
      </w:r>
      <w:r>
        <w:rPr>
          <w:rFonts w:hint="default" w:hAnsi="DejaVu Math TeX Gyre"/>
          <w:i w:val="0"/>
          <w:color w:val="0000FF"/>
          <w:sz w:val="21"/>
          <w:lang w:val="en-US"/>
        </w:rPr>
        <w:t xml:space="preserve">                          </w:t>
      </w:r>
      <w:r>
        <w:rPr>
          <w:rFonts w:hint="default" w:ascii="Times New Roman Regular" w:hAnsi="Times New Roman Regular" w:cs="Times New Roman Regular"/>
          <w:i w:val="0"/>
          <w:color w:val="0000FF"/>
          <w:sz w:val="21"/>
          <w:lang w:val="en-US"/>
        </w:rPr>
        <w:t>(22)</w:t>
      </w:r>
    </w:p>
    <w:p w14:paraId="4C318F44">
      <w:pPr>
        <w:spacing w:line="300" w:lineRule="auto"/>
        <w:rPr>
          <w:rFonts w:ascii="Times New Roman Regular" w:hAnsi="Times New Roman Regular" w:cs="Times New Roman Regular"/>
          <w:color w:val="0000FF"/>
        </w:rPr>
      </w:pPr>
      <w:r>
        <w:rPr>
          <w:rFonts w:hint="eastAsia" w:ascii="Times New Roman Regular" w:hAnsi="Times New Roman Regular" w:cs="Times New Roman Regular"/>
          <w:color w:val="0000FF"/>
        </w:rPr>
        <w:t xml:space="preserve">where </w:t>
      </w:r>
      <m:oMath>
        <m:sSubSup>
          <m:sSubSupPr>
            <m:ctrlPr>
              <w:rPr>
                <w:rFonts w:hint="default" w:ascii="DejaVu Math TeX Gyre" w:hAnsi="DejaVu Math TeX Gyre" w:cs="Times New Roman Regular"/>
                <w:color w:val="0000FF"/>
                <w:sz w:val="21"/>
              </w:rPr>
            </m:ctrlPr>
          </m:sSubSupPr>
          <m:e>
            <m:r>
              <m:rPr>
                <m:nor/>
                <m:sty m:val="p"/>
              </m:rPr>
              <w:rPr>
                <w:rFonts w:hint="default" w:ascii="DejaVu Math TeX Gyre" w:hAnsi="DejaVu Math TeX Gyre" w:cs="Times New Roman Regular"/>
                <w:b w:val="0"/>
                <w:i w:val="0"/>
                <w:color w:val="0000FF"/>
                <w:sz w:val="21"/>
              </w:rPr>
              <m:t>Φ</m:t>
            </m:r>
            <m:ctrlPr>
              <w:rPr>
                <w:rFonts w:ascii="DejaVu Math TeX Gyre" w:hAnsi="DejaVu Math TeX Gyre" w:cs="Times New Roman Regular"/>
                <w:color w:val="0000FF"/>
                <w:sz w:val="21"/>
              </w:rPr>
            </m:ctrlPr>
          </m:e>
          <m:sub>
            <m:r>
              <m:rPr>
                <m:nor/>
                <m:sty m:val="p"/>
              </m:rPr>
              <w:rPr>
                <w:rFonts w:hint="default" w:ascii="DejaVu Math TeX Gyre" w:hAnsi="DejaVu Math TeX Gyre" w:cs="Times New Roman Regular"/>
                <w:b w:val="0"/>
                <w:i w:val="0"/>
                <w:color w:val="0000FF"/>
                <w:sz w:val="21"/>
              </w:rPr>
              <m:t>i,i</m:t>
            </m:r>
            <m:ctrlPr>
              <w:rPr>
                <w:rFonts w:ascii="DejaVu Math TeX Gyre" w:hAnsi="DejaVu Math TeX Gyre" w:cs="Times New Roman Regular"/>
                <w:color w:val="0000FF"/>
                <w:sz w:val="21"/>
              </w:rPr>
            </m:ctrlPr>
          </m:sub>
          <m:sup>
            <m:r>
              <m:rPr>
                <m:nor/>
                <m:sty m:val="p"/>
              </m:rPr>
              <w:rPr>
                <w:rFonts w:hint="default" w:ascii="DejaVu Math TeX Gyre" w:hAnsi="DejaVu Math TeX Gyre" w:cs="Times New Roman Regular"/>
                <w:b w:val="0"/>
                <w:i w:val="0"/>
                <w:color w:val="0000FF"/>
                <w:sz w:val="21"/>
              </w:rPr>
              <m:t>(j)</m:t>
            </m:r>
            <m:ctrlPr>
              <w:rPr>
                <w:rFonts w:ascii="DejaVu Math TeX Gyre" w:hAnsi="DejaVu Math TeX Gyre" w:cs="Times New Roman Regular"/>
                <w:color w:val="0000FF"/>
                <w:sz w:val="21"/>
              </w:rPr>
            </m:ctrlPr>
          </m:sup>
        </m:sSubSup>
      </m:oMath>
      <w:r>
        <w:rPr>
          <w:rFonts w:hint="eastAsia" w:ascii="Times New Roman Regular" w:hAnsi="Times New Roman Regular" w:cs="Times New Roman Regular"/>
          <w:color w:val="0000FF"/>
        </w:rPr>
        <w:t xml:space="preserve"> represents the self-interaction SHAP value for feature i in sample j.</w:t>
      </w:r>
    </w:p>
    <w:p w14:paraId="632426F8">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Second, to assess the local stability of the model, an OAT perturbation test was conducted by fixing other input parameters and varying the target feature within ±30% of its measured range</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Anderson et al., 2018</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xml:space="preserve">. The perturbation sensitivity </w:t>
      </w:r>
      <m:oMath>
        <m:sSub>
          <m:sSubPr>
            <m:ctrlPr>
              <w:rPr>
                <w:rFonts w:hint="default" w:ascii="DejaVu Math TeX Gyre" w:hAnsi="DejaVu Math TeX Gyre" w:cs="Times New Roman Regular"/>
                <w:color w:val="0000FF"/>
                <w:sz w:val="21"/>
              </w:rPr>
            </m:ctrlPr>
          </m:sSubPr>
          <m:e>
            <m:r>
              <m:rPr>
                <m:nor/>
                <m:sty m:val="p"/>
              </m:rPr>
              <w:rPr>
                <w:rFonts w:hint="default" w:ascii="DejaVu Math TeX Gyre" w:hAnsi="DejaVu Math TeX Gyre" w:cs="Times New Roman Regular"/>
                <w:b w:val="0"/>
                <w:i w:val="0"/>
                <w:color w:val="0000FF"/>
                <w:sz w:val="21"/>
              </w:rPr>
              <m:t>S</m:t>
            </m:r>
            <m:ctrlPr>
              <w:rPr>
                <w:rFonts w:ascii="DejaVu Math TeX Gyre" w:hAnsi="DejaVu Math TeX Gyre" w:cs="Times New Roman Regular"/>
                <w:color w:val="0000FF"/>
                <w:sz w:val="21"/>
              </w:rPr>
            </m:ctrlPr>
          </m:e>
          <m:sub>
            <m:r>
              <m:rPr>
                <m:nor/>
                <m:sty m:val="p"/>
              </m:rPr>
              <w:rPr>
                <w:rFonts w:hint="default" w:ascii="DejaVu Math TeX Gyre" w:hAnsi="DejaVu Math TeX Gyre" w:cs="Times New Roman Regular"/>
                <w:b w:val="0"/>
                <w:i w:val="0"/>
                <w:color w:val="0000FF"/>
                <w:sz w:val="21"/>
              </w:rPr>
              <m:t>pert</m:t>
            </m:r>
            <m:ctrlPr>
              <w:rPr>
                <w:rFonts w:ascii="DejaVu Math TeX Gyre" w:hAnsi="DejaVu Math TeX Gyre" w:cs="Times New Roman Regular"/>
                <w:color w:val="0000FF"/>
                <w:sz w:val="21"/>
              </w:rPr>
            </m:ctrlPr>
          </m:sub>
        </m:sSub>
      </m:oMath>
      <w:r>
        <w:rPr>
          <w:rFonts w:hint="default" w:hAnsi="DejaVu Math TeX Gyre" w:cs="Times New Roman Regular"/>
          <w:i w:val="0"/>
          <w:color w:val="0000FF"/>
          <w:sz w:val="21"/>
          <w:lang w:val="en-US"/>
        </w:rPr>
        <w:t xml:space="preserve"> </w:t>
      </w:r>
      <w:r>
        <w:rPr>
          <w:rFonts w:hint="eastAsia" w:ascii="Times New Roman Regular" w:hAnsi="Times New Roman Regular" w:cs="Times New Roman Regular"/>
          <w:color w:val="0000FF"/>
        </w:rPr>
        <w:t>is calculated as the relative change rate of the model</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xml:space="preserve">s </w:t>
      </w:r>
      <w:r>
        <w:rPr>
          <w:rFonts w:hint="default" w:ascii="Times New Roman Regular" w:hAnsi="Times New Roman Regular" w:cs="Times New Roman Regular"/>
          <w:color w:val="0000FF"/>
          <w:lang w:val="en-US"/>
        </w:rPr>
        <w:t>R</w:t>
      </w:r>
      <w:r>
        <w:rPr>
          <w:rFonts w:hint="default" w:ascii="Times New Roman Regular" w:hAnsi="Times New Roman Regular" w:cs="Times New Roman Regular"/>
          <w:color w:val="0000FF"/>
          <w:vertAlign w:val="superscript"/>
          <w:lang w:val="en-US"/>
        </w:rPr>
        <w:t>2</w:t>
      </w:r>
      <w:r>
        <w:rPr>
          <w:rFonts w:hint="eastAsia" w:ascii="Times New Roman Regular" w:hAnsi="Times New Roman Regular" w:cs="Times New Roman Regular"/>
          <w:color w:val="0000FF"/>
        </w:rPr>
        <w:t xml:space="preserve"> score:</w:t>
      </w:r>
    </w:p>
    <w:p w14:paraId="6DD64A0B">
      <w:pPr>
        <w:spacing w:line="300" w:lineRule="auto"/>
        <w:jc w:val="right"/>
        <w:rPr>
          <w:rFonts w:hint="default" w:ascii="Times New Roman Regular" w:hAnsi="Times New Roman Regular" w:cs="Times New Roman Regular"/>
          <w:color w:val="0000FF"/>
          <w:lang w:val="en-US"/>
        </w:rPr>
      </w:pPr>
      <m:oMath>
        <m:sSub>
          <m:sSubPr>
            <m:ctrlPr>
              <w:rPr>
                <w:rFonts w:hint="default" w:ascii="DejaVu Math TeX Gyre" w:hAnsi="DejaVu Math TeX Gyre" w:cs="Times New Roman Regular"/>
                <w:i/>
                <w:iCs/>
                <w:color w:val="0000FF"/>
                <w:sz w:val="21"/>
              </w:rPr>
            </m:ctrlPr>
          </m:sSubPr>
          <m:e>
            <m:r>
              <m:rPr>
                <m:nor/>
              </m:rPr>
              <w:rPr>
                <w:rFonts w:hint="default" w:ascii="DejaVu Math TeX Gyre" w:hAnsi="DejaVu Math TeX Gyre" w:cs="Times New Roman Regular"/>
                <w:b w:val="0"/>
                <w:i/>
                <w:iCs/>
                <w:color w:val="0000FF"/>
                <w:sz w:val="21"/>
              </w:rPr>
              <m:t>S</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pert</m:t>
            </m:r>
            <m:ctrlPr>
              <w:rPr>
                <w:rFonts w:ascii="DejaVu Math TeX Gyre" w:hAnsi="DejaVu Math TeX Gyre" w:cs="Times New Roman Regular"/>
                <w:i/>
                <w:iCs/>
                <w:color w:val="0000FF"/>
                <w:sz w:val="21"/>
              </w:rPr>
            </m:ctrlPr>
          </m:sub>
        </m:sSub>
        <m:r>
          <m:rPr>
            <m:nor/>
          </m:rPr>
          <w:rPr>
            <w:rFonts w:hint="default" w:ascii="DejaVu Math TeX Gyre" w:hAnsi="DejaVu Math TeX Gyre" w:cs="Times New Roman Regular"/>
            <w:b w:val="0"/>
            <w:i/>
            <w:iCs/>
            <w:color w:val="0000FF"/>
            <w:sz w:val="21"/>
          </w:rPr>
          <m:t>=</m:t>
        </m:r>
        <m:f>
          <m:fPr>
            <m:ctrlPr>
              <w:rPr>
                <w:rFonts w:hint="default" w:ascii="DejaVu Math TeX Gyre" w:hAnsi="DejaVu Math TeX Gyre" w:cs="Times New Roman Regular"/>
                <w:i/>
                <w:iCs/>
                <w:color w:val="0000FF"/>
                <w:sz w:val="21"/>
              </w:rPr>
            </m:ctrlPr>
          </m:fPr>
          <m:num>
            <m:func>
              <m:funcPr>
                <m:ctrlPr>
                  <w:rPr>
                    <w:rFonts w:hint="default" w:ascii="DejaVu Math TeX Gyre" w:hAnsi="DejaVu Math TeX Gyre" w:cs="Times New Roman Regular"/>
                    <w:i/>
                    <w:iCs/>
                    <w:color w:val="0000FF"/>
                    <w:sz w:val="21"/>
                  </w:rPr>
                </m:ctrlPr>
              </m:funcPr>
              <m:fName>
                <m:r>
                  <m:rPr>
                    <m:nor/>
                  </m:rPr>
                  <w:rPr>
                    <w:rFonts w:hint="default" w:ascii="DejaVu Math TeX Gyre" w:hAnsi="DejaVu Math TeX Gyre" w:cs="Times New Roman Regular"/>
                    <w:b w:val="0"/>
                    <w:i/>
                    <w:iCs/>
                    <w:color w:val="0000FF"/>
                    <w:sz w:val="21"/>
                  </w:rPr>
                  <m:t>max</m:t>
                </m:r>
                <m:ctrlPr>
                  <w:rPr>
                    <w:rFonts w:ascii="DejaVu Math TeX Gyre" w:hAnsi="DejaVu Math TeX Gyre" w:cs="Times New Roman Regular"/>
                    <w:i/>
                    <w:iCs/>
                    <w:color w:val="0000FF"/>
                    <w:sz w:val="21"/>
                  </w:rPr>
                </m:ctrlPr>
              </m:fName>
              <m:e>
                <m:r>
                  <m:rPr>
                    <m:nor/>
                  </m:rPr>
                  <w:rPr>
                    <w:rFonts w:hint="default" w:ascii="DejaVu Math TeX Gyre" w:hAnsi="DejaVu Math TeX Gyre" w:cs="Times New Roman Regular"/>
                    <w:b w:val="0"/>
                    <w:i/>
                    <w:iCs/>
                    <w:color w:val="0000FF"/>
                    <w:sz w:val="21"/>
                  </w:rPr>
                  <m:t>(</m:t>
                </m:r>
                <m:ctrlPr>
                  <w:rPr>
                    <w:rFonts w:ascii="DejaVu Math TeX Gyre" w:hAnsi="DejaVu Math TeX Gyre" w:cs="Times New Roman Regular"/>
                    <w:i/>
                    <w:iCs/>
                    <w:color w:val="0000FF"/>
                    <w:sz w:val="21"/>
                  </w:rPr>
                </m:ctrlPr>
              </m:e>
            </m:func>
            <m:sSubSup>
              <m:sSubSupPr>
                <m:ctrlPr>
                  <w:rPr>
                    <w:rFonts w:hint="default" w:ascii="DejaVu Math TeX Gyre" w:hAnsi="DejaVu Math TeX Gyre" w:cs="Times New Roman Regular"/>
                    <w:i/>
                    <w:iCs/>
                    <w:color w:val="0000FF"/>
                    <w:sz w:val="21"/>
                  </w:rPr>
                </m:ctrlPr>
              </m:sSubSupPr>
              <m:e>
                <m:r>
                  <m:rPr>
                    <m:nor/>
                  </m:rPr>
                  <w:rPr>
                    <w:rFonts w:hint="default" w:ascii="DejaVu Math TeX Gyre" w:hAnsi="DejaVu Math TeX Gyre" w:cs="Times New Roman Regular"/>
                    <w:b w:val="0"/>
                    <w:i/>
                    <w:iCs/>
                    <w:color w:val="0000FF"/>
                    <w:sz w:val="21"/>
                  </w:rPr>
                  <m:t>R</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pert</m:t>
                </m:r>
                <m:ctrlPr>
                  <w:rPr>
                    <w:rFonts w:ascii="DejaVu Math TeX Gyre" w:hAnsi="DejaVu Math TeX Gyre" w:cs="Times New Roman Regular"/>
                    <w:i/>
                    <w:iCs/>
                    <w:color w:val="0000FF"/>
                    <w:sz w:val="21"/>
                  </w:rPr>
                </m:ctrlPr>
              </m:sub>
              <m:sup>
                <m:r>
                  <m:rPr>
                    <m:nor/>
                  </m:rPr>
                  <w:rPr>
                    <w:rFonts w:hint="default" w:ascii="DejaVu Math TeX Gyre" w:hAnsi="DejaVu Math TeX Gyre" w:cs="Times New Roman Regular"/>
                    <w:b w:val="0"/>
                    <w:i/>
                    <w:iCs/>
                    <w:color w:val="0000FF"/>
                    <w:sz w:val="21"/>
                  </w:rPr>
                  <m:t>2</m:t>
                </m:r>
                <m:ctrlPr>
                  <w:rPr>
                    <w:rFonts w:ascii="DejaVu Math TeX Gyre" w:hAnsi="DejaVu Math TeX Gyre" w:cs="Times New Roman Regular"/>
                    <w:i/>
                    <w:iCs/>
                    <w:color w:val="0000FF"/>
                    <w:sz w:val="21"/>
                  </w:rPr>
                </m:ctrlPr>
              </m:sup>
            </m:sSubSup>
            <m:r>
              <m:rPr>
                <m:nor/>
              </m:rPr>
              <w:rPr>
                <w:rFonts w:hint="default" w:ascii="DejaVu Math TeX Gyre" w:hAnsi="DejaVu Math TeX Gyre" w:cs="Times New Roman Regular"/>
                <w:b w:val="0"/>
                <w:i/>
                <w:iCs/>
                <w:color w:val="0000FF"/>
                <w:sz w:val="21"/>
              </w:rPr>
              <m:t>)−</m:t>
            </m:r>
            <m:func>
              <m:funcPr>
                <m:ctrlPr>
                  <w:rPr>
                    <w:rFonts w:hint="default" w:ascii="DejaVu Math TeX Gyre" w:hAnsi="DejaVu Math TeX Gyre" w:cs="Times New Roman Regular"/>
                    <w:i/>
                    <w:iCs/>
                    <w:color w:val="0000FF"/>
                    <w:sz w:val="21"/>
                  </w:rPr>
                </m:ctrlPr>
              </m:funcPr>
              <m:fName>
                <m:r>
                  <m:rPr>
                    <m:nor/>
                  </m:rPr>
                  <w:rPr>
                    <w:rFonts w:hint="default" w:ascii="DejaVu Math TeX Gyre" w:hAnsi="DejaVu Math TeX Gyre" w:cs="Times New Roman Regular"/>
                    <w:b w:val="0"/>
                    <w:i/>
                    <w:iCs/>
                    <w:color w:val="0000FF"/>
                    <w:sz w:val="21"/>
                  </w:rPr>
                  <m:t>min</m:t>
                </m:r>
                <m:ctrlPr>
                  <w:rPr>
                    <w:rFonts w:ascii="DejaVu Math TeX Gyre" w:hAnsi="DejaVu Math TeX Gyre" w:cs="Times New Roman Regular"/>
                    <w:i/>
                    <w:iCs/>
                    <w:color w:val="0000FF"/>
                    <w:sz w:val="21"/>
                  </w:rPr>
                </m:ctrlPr>
              </m:fName>
              <m:e>
                <m:r>
                  <m:rPr>
                    <m:nor/>
                  </m:rPr>
                  <w:rPr>
                    <w:rFonts w:hint="default" w:ascii="DejaVu Math TeX Gyre" w:hAnsi="DejaVu Math TeX Gyre" w:cs="Times New Roman Regular"/>
                    <w:b w:val="0"/>
                    <w:i/>
                    <w:iCs/>
                    <w:color w:val="0000FF"/>
                    <w:sz w:val="21"/>
                  </w:rPr>
                  <m:t>(</m:t>
                </m:r>
                <m:ctrlPr>
                  <w:rPr>
                    <w:rFonts w:ascii="DejaVu Math TeX Gyre" w:hAnsi="DejaVu Math TeX Gyre" w:cs="Times New Roman Regular"/>
                    <w:i/>
                    <w:iCs/>
                    <w:color w:val="0000FF"/>
                    <w:sz w:val="21"/>
                  </w:rPr>
                </m:ctrlPr>
              </m:e>
            </m:func>
            <m:sSubSup>
              <m:sSubSupPr>
                <m:ctrlPr>
                  <w:rPr>
                    <w:rFonts w:hint="default" w:ascii="DejaVu Math TeX Gyre" w:hAnsi="DejaVu Math TeX Gyre" w:cs="Times New Roman Regular"/>
                    <w:i/>
                    <w:iCs/>
                    <w:color w:val="0000FF"/>
                    <w:sz w:val="21"/>
                  </w:rPr>
                </m:ctrlPr>
              </m:sSubSupPr>
              <m:e>
                <m:r>
                  <m:rPr>
                    <m:nor/>
                  </m:rPr>
                  <w:rPr>
                    <w:rFonts w:hint="default" w:ascii="DejaVu Math TeX Gyre" w:hAnsi="DejaVu Math TeX Gyre" w:cs="Times New Roman Regular"/>
                    <w:b w:val="0"/>
                    <w:i/>
                    <w:iCs/>
                    <w:color w:val="0000FF"/>
                    <w:sz w:val="21"/>
                  </w:rPr>
                  <m:t>R</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pert</m:t>
                </m:r>
                <m:ctrlPr>
                  <w:rPr>
                    <w:rFonts w:ascii="DejaVu Math TeX Gyre" w:hAnsi="DejaVu Math TeX Gyre" w:cs="Times New Roman Regular"/>
                    <w:i/>
                    <w:iCs/>
                    <w:color w:val="0000FF"/>
                    <w:sz w:val="21"/>
                  </w:rPr>
                </m:ctrlPr>
              </m:sub>
              <m:sup>
                <m:r>
                  <m:rPr>
                    <m:nor/>
                  </m:rPr>
                  <w:rPr>
                    <w:rFonts w:hint="default" w:ascii="DejaVu Math TeX Gyre" w:hAnsi="DejaVu Math TeX Gyre" w:cs="Times New Roman Regular"/>
                    <w:b w:val="0"/>
                    <w:i/>
                    <w:iCs/>
                    <w:color w:val="0000FF"/>
                    <w:sz w:val="21"/>
                  </w:rPr>
                  <m:t>2</m:t>
                </m:r>
                <m:ctrlPr>
                  <w:rPr>
                    <w:rFonts w:ascii="DejaVu Math TeX Gyre" w:hAnsi="DejaVu Math TeX Gyre" w:cs="Times New Roman Regular"/>
                    <w:i/>
                    <w:iCs/>
                    <w:color w:val="0000FF"/>
                    <w:sz w:val="21"/>
                  </w:rPr>
                </m:ctrlPr>
              </m:sup>
            </m:sSubSup>
            <m:r>
              <m:rPr>
                <m:nor/>
              </m:rPr>
              <w:rPr>
                <w:rFonts w:hint="default" w:ascii="DejaVu Math TeX Gyre" w:hAnsi="DejaVu Math TeX Gyre" w:cs="Times New Roman Regular"/>
                <w:b w:val="0"/>
                <w:i/>
                <w:iCs/>
                <w:color w:val="0000FF"/>
                <w:sz w:val="21"/>
              </w:rPr>
              <m:t>)</m:t>
            </m:r>
            <m:ctrlPr>
              <w:rPr>
                <w:rFonts w:hint="default" w:ascii="DejaVu Math TeX Gyre" w:hAnsi="DejaVu Math TeX Gyre" w:cs="Times New Roman Regular"/>
                <w:i/>
                <w:iCs/>
                <w:color w:val="0000FF"/>
                <w:sz w:val="21"/>
              </w:rPr>
            </m:ctrlPr>
          </m:num>
          <m:den>
            <m:r>
              <m:rPr>
                <m:nor/>
              </m:rPr>
              <w:rPr>
                <w:rFonts w:hint="default" w:ascii="DejaVu Math TeX Gyre" w:hAnsi="DejaVu Math TeX Gyre" w:cs="Times New Roman Regular"/>
                <w:b w:val="0"/>
                <w:i/>
                <w:iCs/>
                <w:color w:val="0000FF"/>
                <w:sz w:val="21"/>
              </w:rPr>
              <m:t>mean(</m:t>
            </m:r>
            <m:sSubSup>
              <m:sSubSupPr>
                <m:ctrlPr>
                  <w:rPr>
                    <w:rFonts w:hint="default" w:ascii="DejaVu Math TeX Gyre" w:hAnsi="DejaVu Math TeX Gyre" w:cs="Times New Roman Regular"/>
                    <w:i/>
                    <w:iCs/>
                    <w:color w:val="0000FF"/>
                    <w:sz w:val="21"/>
                  </w:rPr>
                </m:ctrlPr>
              </m:sSubSupPr>
              <m:e>
                <m:r>
                  <m:rPr>
                    <m:nor/>
                  </m:rPr>
                  <w:rPr>
                    <w:rFonts w:hint="default" w:ascii="DejaVu Math TeX Gyre" w:hAnsi="DejaVu Math TeX Gyre" w:cs="Times New Roman Regular"/>
                    <w:b w:val="0"/>
                    <w:i/>
                    <w:iCs/>
                    <w:color w:val="0000FF"/>
                    <w:sz w:val="21"/>
                  </w:rPr>
                  <m:t>R</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pert</m:t>
                </m:r>
                <m:ctrlPr>
                  <w:rPr>
                    <w:rFonts w:ascii="DejaVu Math TeX Gyre" w:hAnsi="DejaVu Math TeX Gyre" w:cs="Times New Roman Regular"/>
                    <w:i/>
                    <w:iCs/>
                    <w:color w:val="0000FF"/>
                    <w:sz w:val="21"/>
                  </w:rPr>
                </m:ctrlPr>
              </m:sub>
              <m:sup>
                <m:r>
                  <m:rPr>
                    <m:nor/>
                  </m:rPr>
                  <w:rPr>
                    <w:rFonts w:hint="default" w:ascii="DejaVu Math TeX Gyre" w:hAnsi="DejaVu Math TeX Gyre" w:cs="Times New Roman Regular"/>
                    <w:b w:val="0"/>
                    <w:i/>
                    <w:iCs/>
                    <w:color w:val="0000FF"/>
                    <w:sz w:val="21"/>
                  </w:rPr>
                  <m:t>2</m:t>
                </m:r>
                <m:ctrlPr>
                  <w:rPr>
                    <w:rFonts w:ascii="DejaVu Math TeX Gyre" w:hAnsi="DejaVu Math TeX Gyre" w:cs="Times New Roman Regular"/>
                    <w:i/>
                    <w:iCs/>
                    <w:color w:val="0000FF"/>
                    <w:sz w:val="21"/>
                  </w:rPr>
                </m:ctrlPr>
              </m:sup>
            </m:sSubSup>
            <m:r>
              <m:rPr>
                <m:nor/>
              </m:rPr>
              <w:rPr>
                <w:rFonts w:hint="default" w:ascii="DejaVu Math TeX Gyre" w:hAnsi="DejaVu Math TeX Gyre" w:cs="Times New Roman Regular"/>
                <w:b w:val="0"/>
                <w:i/>
                <w:iCs/>
                <w:color w:val="0000FF"/>
                <w:sz w:val="21"/>
              </w:rPr>
              <m:t>)</m:t>
            </m:r>
            <m:ctrlPr>
              <w:rPr>
                <w:rFonts w:hint="default" w:ascii="DejaVu Math TeX Gyre" w:hAnsi="DejaVu Math TeX Gyre" w:cs="Times New Roman Regular"/>
                <w:i/>
                <w:iCs/>
                <w:color w:val="0000FF"/>
                <w:sz w:val="21"/>
              </w:rPr>
            </m:ctrlPr>
          </m:den>
        </m:f>
      </m:oMath>
      <w:r>
        <w:rPr>
          <w:rFonts w:hint="default" w:hAnsi="DejaVu Math TeX Gyre" w:cs="Times New Roman Regular"/>
          <w:i/>
          <w:iCs/>
          <w:color w:val="0000FF"/>
          <w:sz w:val="21"/>
          <w:lang w:val="en-US"/>
        </w:rPr>
        <w:t xml:space="preserve"> </w:t>
      </w:r>
      <w:r>
        <w:rPr>
          <w:rFonts w:hint="default" w:hAnsi="DejaVu Math TeX Gyre" w:cs="Times New Roman Regular"/>
          <w:i w:val="0"/>
          <w:color w:val="0000FF"/>
          <w:sz w:val="21"/>
          <w:lang w:val="en-US"/>
        </w:rPr>
        <w:t xml:space="preserve">                       </w:t>
      </w:r>
      <w:r>
        <w:rPr>
          <w:rFonts w:hint="default" w:ascii="Times New Roman Regular" w:hAnsi="Times New Roman Regular" w:cs="Times New Roman Regular"/>
          <w:i w:val="0"/>
          <w:color w:val="0000FF"/>
          <w:sz w:val="21"/>
          <w:lang w:val="en-US"/>
        </w:rPr>
        <w:t>(23)</w:t>
      </w:r>
    </w:p>
    <w:p w14:paraId="69028057">
      <w:pPr>
        <w:spacing w:line="300" w:lineRule="auto"/>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 xml:space="preserve">where </w:t>
      </w:r>
      <m:oMath>
        <m:sSubSup>
          <m:sSubSupPr>
            <m:ctrlPr>
              <w:rPr>
                <w:rFonts w:hint="default" w:ascii="DejaVu Math TeX Gyre" w:hAnsi="DejaVu Math TeX Gyre" w:cs="Times New Roman Regular"/>
                <w:color w:val="0000FF"/>
                <w:sz w:val="21"/>
              </w:rPr>
            </m:ctrlPr>
          </m:sSubSupPr>
          <m:e>
            <m:r>
              <m:rPr>
                <m:nor/>
                <m:sty m:val="p"/>
              </m:rPr>
              <w:rPr>
                <w:rFonts w:hint="default" w:ascii="DejaVu Math TeX Gyre" w:hAnsi="DejaVu Math TeX Gyre" w:cs="Times New Roman Regular"/>
                <w:b w:val="0"/>
                <w:i w:val="0"/>
                <w:color w:val="0000FF"/>
                <w:sz w:val="21"/>
              </w:rPr>
              <m:t>R</m:t>
            </m:r>
            <m:ctrlPr>
              <w:rPr>
                <w:rFonts w:ascii="DejaVu Math TeX Gyre" w:hAnsi="DejaVu Math TeX Gyre" w:cs="Times New Roman Regular"/>
                <w:color w:val="0000FF"/>
                <w:sz w:val="21"/>
              </w:rPr>
            </m:ctrlPr>
          </m:e>
          <m:sub>
            <m:r>
              <m:rPr>
                <m:nor/>
                <m:sty m:val="p"/>
              </m:rPr>
              <w:rPr>
                <w:rFonts w:hint="default" w:ascii="DejaVu Math TeX Gyre" w:hAnsi="DejaVu Math TeX Gyre" w:cs="Times New Roman Regular"/>
                <w:b w:val="0"/>
                <w:i w:val="0"/>
                <w:color w:val="0000FF"/>
                <w:sz w:val="21"/>
              </w:rPr>
              <m:t>pert</m:t>
            </m:r>
            <m:ctrlPr>
              <w:rPr>
                <w:rFonts w:ascii="DejaVu Math TeX Gyre" w:hAnsi="DejaVu Math TeX Gyre" w:cs="Times New Roman Regular"/>
                <w:color w:val="0000FF"/>
                <w:sz w:val="21"/>
              </w:rPr>
            </m:ctrlPr>
          </m:sub>
          <m:sup>
            <m:r>
              <m:rPr>
                <m:nor/>
                <m:sty m:val="p"/>
              </m:rPr>
              <w:rPr>
                <w:rFonts w:hint="default" w:ascii="DejaVu Math TeX Gyre" w:hAnsi="DejaVu Math TeX Gyre" w:cs="Times New Roman Regular"/>
                <w:b w:val="0"/>
                <w:i w:val="0"/>
                <w:color w:val="0000FF"/>
                <w:sz w:val="21"/>
              </w:rPr>
              <m:t>2</m:t>
            </m:r>
            <m:ctrlPr>
              <w:rPr>
                <w:rFonts w:ascii="DejaVu Math TeX Gyre" w:hAnsi="DejaVu Math TeX Gyre" w:cs="Times New Roman Regular"/>
                <w:color w:val="0000FF"/>
                <w:sz w:val="21"/>
              </w:rPr>
            </m:ctrlPr>
          </m:sup>
        </m:sSubSup>
      </m:oMath>
      <w:r>
        <w:rPr>
          <w:rFonts w:hint="eastAsia" w:ascii="Times New Roman Regular" w:hAnsi="Times New Roman Regular" w:cs="Times New Roman Regular"/>
          <w:color w:val="0000FF"/>
        </w:rPr>
        <w:t xml:space="preserve"> represents the coefficient of determination obtained under different perturbation levels.</w:t>
      </w:r>
    </w:p>
    <w:p w14:paraId="5E504B83">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 xml:space="preserve">Finally, the elasticity coefficient </w:t>
      </w:r>
      <m:oMath>
        <m:sSub>
          <m:sSubPr>
            <m:ctrlPr>
              <w:rPr>
                <w:rFonts w:hint="default" w:ascii="DejaVu Math TeX Gyre" w:hAnsi="DejaVu Math TeX Gyre" w:cs="Times New Roman Regular"/>
                <w:color w:val="0000FF"/>
                <w:sz w:val="21"/>
              </w:rPr>
            </m:ctrlPr>
          </m:sSubPr>
          <m:e>
            <m:r>
              <m:rPr>
                <m:nor/>
                <m:sty m:val="p"/>
              </m:rPr>
              <w:rPr>
                <w:rFonts w:hint="default" w:ascii="DejaVu Math TeX Gyre" w:hAnsi="DejaVu Math TeX Gyre" w:cs="Times New Roman Regular"/>
                <w:b w:val="0"/>
                <w:i w:val="0"/>
                <w:color w:val="0000FF"/>
                <w:sz w:val="21"/>
              </w:rPr>
              <m:t>E</m:t>
            </m:r>
            <m:ctrlPr>
              <w:rPr>
                <w:rFonts w:ascii="DejaVu Math TeX Gyre" w:hAnsi="DejaVu Math TeX Gyre" w:cs="Times New Roman Regular"/>
                <w:color w:val="0000FF"/>
                <w:sz w:val="21"/>
              </w:rPr>
            </m:ctrlPr>
          </m:e>
          <m:sub>
            <m:r>
              <m:rPr>
                <m:nor/>
                <m:sty m:val="p"/>
              </m:rPr>
              <w:rPr>
                <w:rFonts w:hint="default" w:ascii="DejaVu Math TeX Gyre" w:hAnsi="DejaVu Math TeX Gyre" w:cs="Times New Roman Regular"/>
                <w:b w:val="0"/>
                <w:i w:val="0"/>
                <w:color w:val="0000FF"/>
                <w:sz w:val="21"/>
              </w:rPr>
              <m:t>i</m:t>
            </m:r>
            <m:ctrlPr>
              <w:rPr>
                <w:rFonts w:ascii="DejaVu Math TeX Gyre" w:hAnsi="DejaVu Math TeX Gyre" w:cs="Times New Roman Regular"/>
                <w:color w:val="0000FF"/>
                <w:sz w:val="21"/>
              </w:rPr>
            </m:ctrlPr>
          </m:sub>
        </m:sSub>
      </m:oMath>
      <w:r>
        <w:rPr>
          <w:rFonts w:hint="eastAsia" w:ascii="Times New Roman Regular" w:hAnsi="Times New Roman Regular" w:cs="Times New Roman Regular"/>
          <w:color w:val="0000FF"/>
        </w:rPr>
        <w:t>was introduced to quantify the directional response degree of nitrate concentration prediction to per unit change of each parameter. It is defined as the ratio of the percentage change in output to the percentage change in input:</w:t>
      </w:r>
    </w:p>
    <w:p w14:paraId="3FA834F5">
      <w:pPr>
        <w:spacing w:line="300" w:lineRule="auto"/>
        <w:jc w:val="right"/>
        <w:rPr>
          <w:rFonts w:hint="default" w:hAnsi="DejaVu Math TeX Gyre" w:cs="Times New Roman Regular"/>
          <w:i w:val="0"/>
          <w:color w:val="0000FF"/>
          <w:sz w:val="21"/>
          <w:lang w:val="en-US"/>
        </w:rPr>
      </w:pPr>
      <m:oMath>
        <m:sSub>
          <m:sSubPr>
            <m:ctrlPr>
              <w:rPr>
                <w:rFonts w:hint="default" w:ascii="DejaVu Math TeX Gyre" w:hAnsi="DejaVu Math TeX Gyre" w:cs="Times New Roman Regular"/>
                <w:i/>
                <w:iCs/>
                <w:color w:val="0000FF"/>
                <w:sz w:val="21"/>
              </w:rPr>
            </m:ctrlPr>
          </m:sSubPr>
          <m:e>
            <m:r>
              <m:rPr>
                <m:nor/>
              </m:rPr>
              <w:rPr>
                <w:rFonts w:hint="default" w:ascii="DejaVu Math TeX Gyre" w:hAnsi="DejaVu Math TeX Gyre" w:cs="Times New Roman Regular"/>
                <w:b w:val="0"/>
                <w:i/>
                <w:iCs/>
                <w:color w:val="0000FF"/>
                <w:sz w:val="21"/>
              </w:rPr>
              <m:t>E</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i</m:t>
            </m:r>
            <m:ctrlPr>
              <w:rPr>
                <w:rFonts w:ascii="DejaVu Math TeX Gyre" w:hAnsi="DejaVu Math TeX Gyre" w:cs="Times New Roman Regular"/>
                <w:i/>
                <w:iCs/>
                <w:color w:val="0000FF"/>
                <w:sz w:val="21"/>
              </w:rPr>
            </m:ctrlPr>
          </m:sub>
        </m:sSub>
        <m:r>
          <m:rPr>
            <m:nor/>
          </m:rPr>
          <w:rPr>
            <w:rFonts w:hint="default" w:ascii="DejaVu Math TeX Gyre" w:hAnsi="DejaVu Math TeX Gyre" w:cs="Times New Roman Regular"/>
            <w:b w:val="0"/>
            <w:i/>
            <w:iCs/>
            <w:color w:val="0000FF"/>
            <w:sz w:val="21"/>
          </w:rPr>
          <m:t>=</m:t>
        </m:r>
        <m:f>
          <m:fPr>
            <m:ctrlPr>
              <w:rPr>
                <w:rFonts w:hint="default" w:ascii="DejaVu Math TeX Gyre" w:hAnsi="DejaVu Math TeX Gyre" w:cs="Times New Roman Regular"/>
                <w:i/>
                <w:iCs/>
                <w:color w:val="0000FF"/>
                <w:sz w:val="21"/>
              </w:rPr>
            </m:ctrlPr>
          </m:fPr>
          <m:num>
            <m:r>
              <m:rPr>
                <m:nor/>
              </m:rPr>
              <w:rPr>
                <w:rFonts w:hint="default" w:ascii="DejaVu Math TeX Gyre" w:hAnsi="DejaVu Math TeX Gyre" w:cs="Times New Roman Regular"/>
                <w:b w:val="0"/>
                <w:i/>
                <w:iCs/>
                <w:color w:val="0000FF"/>
                <w:sz w:val="21"/>
              </w:rPr>
              <m:t>1</m:t>
            </m:r>
            <m:ctrlPr>
              <w:rPr>
                <w:rFonts w:ascii="DejaVu Math TeX Gyre" w:hAnsi="DejaVu Math TeX Gyre" w:cs="Times New Roman Regular"/>
                <w:i/>
                <w:iCs/>
                <w:color w:val="0000FF"/>
                <w:sz w:val="21"/>
              </w:rPr>
            </m:ctrlPr>
          </m:num>
          <m:den>
            <m:r>
              <m:rPr>
                <m:nor/>
              </m:rPr>
              <w:rPr>
                <w:rFonts w:hint="default" w:ascii="DejaVu Math TeX Gyre" w:hAnsi="DejaVu Math TeX Gyre" w:cs="Times New Roman Regular"/>
                <w:b w:val="0"/>
                <w:i/>
                <w:iCs/>
                <w:color w:val="0000FF"/>
                <w:sz w:val="21"/>
              </w:rPr>
              <m:t>n</m:t>
            </m:r>
            <m:ctrlPr>
              <w:rPr>
                <w:rFonts w:ascii="DejaVu Math TeX Gyre" w:hAnsi="DejaVu Math TeX Gyre" w:cs="Times New Roman Regular"/>
                <w:i/>
                <w:iCs/>
                <w:color w:val="0000FF"/>
                <w:sz w:val="21"/>
              </w:rPr>
            </m:ctrlPr>
          </m:den>
        </m:f>
        <m:nary>
          <m:naryPr>
            <m:chr m:val="∑"/>
            <m:limLoc m:val="undOvr"/>
            <m:ctrlPr>
              <w:rPr>
                <w:rFonts w:hint="default" w:ascii="DejaVu Math TeX Gyre" w:hAnsi="DejaVu Math TeX Gyre" w:cs="Times New Roman Regular"/>
                <w:i/>
                <w:iCs/>
                <w:color w:val="0000FF"/>
                <w:sz w:val="21"/>
              </w:rPr>
            </m:ctrlPr>
          </m:naryPr>
          <m:sub>
            <m:r>
              <m:rPr>
                <m:nor/>
              </m:rPr>
              <w:rPr>
                <w:rFonts w:hint="default" w:ascii="DejaVu Math TeX Gyre" w:hAnsi="DejaVu Math TeX Gyre" w:cs="Times New Roman Regular"/>
                <w:b w:val="0"/>
                <w:i/>
                <w:iCs/>
                <w:color w:val="0000FF"/>
                <w:sz w:val="21"/>
              </w:rPr>
              <m:t>j=1</m:t>
            </m:r>
            <m:ctrlPr>
              <w:rPr>
                <w:rFonts w:ascii="DejaVu Math TeX Gyre" w:hAnsi="DejaVu Math TeX Gyre" w:cs="Times New Roman Regular"/>
                <w:i/>
                <w:iCs/>
                <w:color w:val="0000FF"/>
                <w:sz w:val="21"/>
              </w:rPr>
            </m:ctrlPr>
          </m:sub>
          <m:sup>
            <m:r>
              <m:rPr>
                <m:nor/>
              </m:rPr>
              <w:rPr>
                <w:rFonts w:hint="default" w:ascii="DejaVu Math TeX Gyre" w:hAnsi="DejaVu Math TeX Gyre" w:cs="Times New Roman Regular"/>
                <w:b w:val="0"/>
                <w:i/>
                <w:iCs/>
                <w:color w:val="0000FF"/>
                <w:sz w:val="21"/>
              </w:rPr>
              <m:t>n</m:t>
            </m:r>
            <m:ctrlPr>
              <w:rPr>
                <w:rFonts w:ascii="DejaVu Math TeX Gyre" w:hAnsi="DejaVu Math TeX Gyre" w:cs="Times New Roman Regular"/>
                <w:i/>
                <w:iCs/>
                <w:color w:val="0000FF"/>
                <w:sz w:val="21"/>
              </w:rPr>
            </m:ctrlPr>
          </m:sup>
          <m:e>
            <m:d>
              <m:dPr>
                <m:begChr m:val="|"/>
                <m:endChr m:val="|"/>
                <m:ctrlPr>
                  <w:rPr>
                    <w:rFonts w:hint="default" w:ascii="DejaVu Math TeX Gyre" w:hAnsi="DejaVu Math TeX Gyre" w:cs="Times New Roman Regular"/>
                    <w:i/>
                    <w:iCs/>
                    <w:color w:val="0000FF"/>
                    <w:sz w:val="21"/>
                  </w:rPr>
                </m:ctrlPr>
              </m:dPr>
              <m:e>
                <m:f>
                  <m:fPr>
                    <m:ctrlPr>
                      <w:rPr>
                        <w:rFonts w:hint="default" w:ascii="DejaVu Math TeX Gyre" w:hAnsi="DejaVu Math TeX Gyre" w:cs="Times New Roman Regular"/>
                        <w:i/>
                        <w:iCs/>
                        <w:color w:val="0000FF"/>
                        <w:sz w:val="21"/>
                      </w:rPr>
                    </m:ctrlPr>
                  </m:fPr>
                  <m:num>
                    <m:r>
                      <m:rPr>
                        <m:nor/>
                      </m:rPr>
                      <w:rPr>
                        <w:rFonts w:hint="default" w:ascii="DejaVu Math TeX Gyre" w:hAnsi="DejaVu Math TeX Gyre" w:cs="Times New Roman Regular"/>
                        <w:b w:val="0"/>
                        <w:i/>
                        <w:iCs/>
                        <w:color w:val="0000FF"/>
                        <w:sz w:val="21"/>
                      </w:rPr>
                      <m:t>(</m:t>
                    </m:r>
                    <m:sSubSup>
                      <m:sSubSupPr>
                        <m:ctrlPr>
                          <w:rPr>
                            <w:rFonts w:hint="default" w:ascii="DejaVu Math TeX Gyre" w:hAnsi="DejaVu Math TeX Gyre" w:cs="Times New Roman Regular"/>
                            <w:i/>
                            <w:iCs/>
                            <w:color w:val="0000FF"/>
                            <w:sz w:val="21"/>
                          </w:rPr>
                        </m:ctrlPr>
                      </m:sSubSupPr>
                      <m:e>
                        <m:acc>
                          <m:accPr>
                            <m:ctrlPr>
                              <w:rPr>
                                <w:rFonts w:hint="default" w:ascii="DejaVu Math TeX Gyre" w:hAnsi="DejaVu Math TeX Gyre" w:cs="Times New Roman Regular"/>
                                <w:i/>
                                <w:iCs/>
                                <w:color w:val="0000FF"/>
                                <w:sz w:val="21"/>
                              </w:rPr>
                            </m:ctrlPr>
                          </m:accPr>
                          <m:e>
                            <m:r>
                              <m:rPr>
                                <m:nor/>
                              </m:rPr>
                              <w:rPr>
                                <w:rFonts w:hint="default" w:ascii="DejaVu Math TeX Gyre" w:hAnsi="DejaVu Math TeX Gyre" w:cs="Times New Roman Regular"/>
                                <w:b w:val="0"/>
                                <w:i/>
                                <w:iCs/>
                                <w:color w:val="0000FF"/>
                                <w:sz w:val="21"/>
                              </w:rPr>
                              <m:t>y</m:t>
                            </m:r>
                            <m:ctrlPr>
                              <w:rPr>
                                <w:rFonts w:ascii="DejaVu Math TeX Gyre" w:hAnsi="DejaVu Math TeX Gyre" w:cs="Times New Roman Regular"/>
                                <w:i/>
                                <w:iCs/>
                                <w:color w:val="0000FF"/>
                                <w:sz w:val="21"/>
                              </w:rPr>
                            </m:ctrlPr>
                          </m:e>
                        </m:acc>
                        <m:ctrlPr>
                          <w:rPr>
                            <w:rFonts w:hint="default"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j</m:t>
                        </m:r>
                        <m:ctrlPr>
                          <w:rPr>
                            <w:rFonts w:hint="default" w:ascii="DejaVu Math TeX Gyre" w:hAnsi="DejaVu Math TeX Gyre" w:cs="Times New Roman Regular"/>
                            <w:i/>
                            <w:iCs/>
                            <w:color w:val="0000FF"/>
                            <w:sz w:val="21"/>
                          </w:rPr>
                        </m:ctrlPr>
                      </m:sub>
                      <m:sup>
                        <m:r>
                          <m:rPr>
                            <m:nor/>
                          </m:rPr>
                          <w:rPr>
                            <w:rFonts w:hint="default" w:ascii="DejaVu Math TeX Gyre" w:hAnsi="DejaVu Math TeX Gyre" w:cs="Times New Roman Regular"/>
                            <w:b w:val="0"/>
                            <w:i/>
                            <w:iCs/>
                            <w:color w:val="0000FF"/>
                            <w:sz w:val="21"/>
                          </w:rPr>
                          <m:t>+</m:t>
                        </m:r>
                        <m:ctrlPr>
                          <w:rPr>
                            <w:rFonts w:hint="default" w:ascii="DejaVu Math TeX Gyre" w:hAnsi="DejaVu Math TeX Gyre" w:cs="Times New Roman Regular"/>
                            <w:i/>
                            <w:iCs/>
                            <w:color w:val="0000FF"/>
                            <w:sz w:val="21"/>
                          </w:rPr>
                        </m:ctrlPr>
                      </m:sup>
                    </m:sSubSup>
                    <m:r>
                      <m:rPr>
                        <m:nor/>
                      </m:rPr>
                      <w:rPr>
                        <w:rFonts w:hint="default" w:ascii="DejaVu Math TeX Gyre" w:hAnsi="DejaVu Math TeX Gyre" w:cs="Times New Roman Regular"/>
                        <w:b w:val="0"/>
                        <w:i/>
                        <w:iCs/>
                        <w:color w:val="0000FF"/>
                        <w:sz w:val="21"/>
                      </w:rPr>
                      <m:t>−</m:t>
                    </m:r>
                    <m:sSub>
                      <m:sSubPr>
                        <m:ctrlPr>
                          <w:rPr>
                            <w:rFonts w:hint="default" w:ascii="DejaVu Math TeX Gyre" w:hAnsi="DejaVu Math TeX Gyre" w:cs="Times New Roman Regular"/>
                            <w:i/>
                            <w:iCs/>
                            <w:color w:val="0000FF"/>
                            <w:sz w:val="21"/>
                          </w:rPr>
                        </m:ctrlPr>
                      </m:sSubPr>
                      <m:e>
                        <m:acc>
                          <m:accPr>
                            <m:ctrlPr>
                              <w:rPr>
                                <w:rFonts w:hint="default" w:ascii="DejaVu Math TeX Gyre" w:hAnsi="DejaVu Math TeX Gyre" w:cs="Times New Roman Regular"/>
                                <w:i/>
                                <w:iCs/>
                                <w:color w:val="0000FF"/>
                                <w:sz w:val="21"/>
                              </w:rPr>
                            </m:ctrlPr>
                          </m:accPr>
                          <m:e>
                            <m:r>
                              <m:rPr>
                                <m:nor/>
                              </m:rPr>
                              <w:rPr>
                                <w:rFonts w:hint="default" w:ascii="DejaVu Math TeX Gyre" w:hAnsi="DejaVu Math TeX Gyre" w:cs="Times New Roman Regular"/>
                                <w:b w:val="0"/>
                                <w:i/>
                                <w:iCs/>
                                <w:color w:val="0000FF"/>
                                <w:sz w:val="21"/>
                              </w:rPr>
                              <m:t>y</m:t>
                            </m:r>
                            <m:ctrlPr>
                              <w:rPr>
                                <w:rFonts w:ascii="DejaVu Math TeX Gyre" w:hAnsi="DejaVu Math TeX Gyre" w:cs="Times New Roman Regular"/>
                                <w:i/>
                                <w:iCs/>
                                <w:color w:val="0000FF"/>
                                <w:sz w:val="21"/>
                              </w:rPr>
                            </m:ctrlPr>
                          </m:e>
                        </m:acc>
                        <m:ctrlPr>
                          <w:rPr>
                            <w:rFonts w:hint="default"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j</m:t>
                        </m:r>
                        <m:ctrlPr>
                          <w:rPr>
                            <w:rFonts w:hint="default" w:ascii="DejaVu Math TeX Gyre" w:hAnsi="DejaVu Math TeX Gyre" w:cs="Times New Roman Regular"/>
                            <w:i/>
                            <w:iCs/>
                            <w:color w:val="0000FF"/>
                            <w:sz w:val="21"/>
                          </w:rPr>
                        </m:ctrlPr>
                      </m:sub>
                    </m:sSub>
                    <m:r>
                      <m:rPr>
                        <m:nor/>
                      </m:rPr>
                      <w:rPr>
                        <w:rFonts w:hint="default" w:ascii="DejaVu Math TeX Gyre" w:hAnsi="DejaVu Math TeX Gyre" w:cs="Times New Roman Regular"/>
                        <w:b w:val="0"/>
                        <w:i/>
                        <w:iCs/>
                        <w:color w:val="0000FF"/>
                        <w:sz w:val="21"/>
                      </w:rPr>
                      <m:t>)/</m:t>
                    </m:r>
                    <m:sSub>
                      <m:sSubPr>
                        <m:ctrlPr>
                          <w:rPr>
                            <w:rFonts w:hint="default" w:ascii="DejaVu Math TeX Gyre" w:hAnsi="DejaVu Math TeX Gyre" w:cs="Times New Roman Regular"/>
                            <w:i/>
                            <w:iCs/>
                            <w:color w:val="0000FF"/>
                            <w:sz w:val="21"/>
                          </w:rPr>
                        </m:ctrlPr>
                      </m:sSubPr>
                      <m:e>
                        <m:acc>
                          <m:accPr>
                            <m:ctrlPr>
                              <w:rPr>
                                <w:rFonts w:hint="default" w:ascii="DejaVu Math TeX Gyre" w:hAnsi="DejaVu Math TeX Gyre" w:cs="Times New Roman Regular"/>
                                <w:i/>
                                <w:iCs/>
                                <w:color w:val="0000FF"/>
                                <w:sz w:val="21"/>
                              </w:rPr>
                            </m:ctrlPr>
                          </m:accPr>
                          <m:e>
                            <m:r>
                              <m:rPr>
                                <m:nor/>
                              </m:rPr>
                              <w:rPr>
                                <w:rFonts w:hint="default" w:ascii="DejaVu Math TeX Gyre" w:hAnsi="DejaVu Math TeX Gyre" w:cs="Times New Roman Regular"/>
                                <w:b w:val="0"/>
                                <w:i/>
                                <w:iCs/>
                                <w:color w:val="0000FF"/>
                                <w:sz w:val="21"/>
                              </w:rPr>
                              <m:t>y</m:t>
                            </m:r>
                            <m:ctrlPr>
                              <w:rPr>
                                <w:rFonts w:ascii="DejaVu Math TeX Gyre" w:hAnsi="DejaVu Math TeX Gyre" w:cs="Times New Roman Regular"/>
                                <w:i/>
                                <w:iCs/>
                                <w:color w:val="0000FF"/>
                                <w:sz w:val="21"/>
                              </w:rPr>
                            </m:ctrlPr>
                          </m:e>
                        </m:acc>
                        <m:ctrlPr>
                          <w:rPr>
                            <w:rFonts w:hint="default"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j</m:t>
                        </m:r>
                        <m:ctrlPr>
                          <w:rPr>
                            <w:rFonts w:hint="default" w:ascii="DejaVu Math TeX Gyre" w:hAnsi="DejaVu Math TeX Gyre" w:cs="Times New Roman Regular"/>
                            <w:i/>
                            <w:iCs/>
                            <w:color w:val="0000FF"/>
                            <w:sz w:val="21"/>
                          </w:rPr>
                        </m:ctrlPr>
                      </m:sub>
                    </m:sSub>
                    <m:ctrlPr>
                      <w:rPr>
                        <w:rFonts w:hint="default" w:ascii="DejaVu Math TeX Gyre" w:hAnsi="DejaVu Math TeX Gyre" w:cs="Times New Roman Regular"/>
                        <w:i/>
                        <w:iCs/>
                        <w:color w:val="0000FF"/>
                        <w:sz w:val="21"/>
                      </w:rPr>
                    </m:ctrlPr>
                  </m:num>
                  <m:den>
                    <m:r>
                      <m:rPr>
                        <m:nor/>
                      </m:rPr>
                      <w:rPr>
                        <w:rFonts w:hint="default" w:ascii="DejaVu Math TeX Gyre" w:hAnsi="DejaVu Math TeX Gyre" w:cs="Times New Roman Regular"/>
                        <w:b w:val="0"/>
                        <w:i/>
                        <w:iCs/>
                        <w:color w:val="0000FF"/>
                        <w:sz w:val="21"/>
                      </w:rPr>
                      <m:t>Δ</m:t>
                    </m:r>
                    <m:sSub>
                      <m:sSubPr>
                        <m:ctrlPr>
                          <w:rPr>
                            <w:rFonts w:hint="default" w:ascii="DejaVu Math TeX Gyre" w:hAnsi="DejaVu Math TeX Gyre" w:cs="Times New Roman Regular"/>
                            <w:i/>
                            <w:iCs/>
                            <w:color w:val="0000FF"/>
                            <w:sz w:val="21"/>
                          </w:rPr>
                        </m:ctrlPr>
                      </m:sSubPr>
                      <m:e>
                        <m:r>
                          <m:rPr>
                            <m:nor/>
                          </m:rPr>
                          <w:rPr>
                            <w:rFonts w:hint="default" w:ascii="DejaVu Math TeX Gyre" w:hAnsi="DejaVu Math TeX Gyre" w:cs="Times New Roman Regular"/>
                            <w:b w:val="0"/>
                            <w:i/>
                            <w:iCs/>
                            <w:color w:val="0000FF"/>
                            <w:sz w:val="21"/>
                          </w:rPr>
                          <m:t>x</m:t>
                        </m:r>
                        <m:ctrlPr>
                          <w:rPr>
                            <w:rFonts w:hint="default"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ij</m:t>
                        </m:r>
                        <m:ctrlPr>
                          <w:rPr>
                            <w:rFonts w:hint="default" w:ascii="DejaVu Math TeX Gyre" w:hAnsi="DejaVu Math TeX Gyre" w:cs="Times New Roman Regular"/>
                            <w:i/>
                            <w:iCs/>
                            <w:color w:val="0000FF"/>
                            <w:sz w:val="21"/>
                          </w:rPr>
                        </m:ctrlPr>
                      </m:sub>
                    </m:sSub>
                    <m:r>
                      <m:rPr>
                        <m:nor/>
                      </m:rPr>
                      <w:rPr>
                        <w:rFonts w:hint="default" w:ascii="DejaVu Math TeX Gyre" w:hAnsi="DejaVu Math TeX Gyre" w:cs="Times New Roman Regular"/>
                        <w:b w:val="0"/>
                        <w:i/>
                        <w:iCs/>
                        <w:color w:val="0000FF"/>
                        <w:sz w:val="21"/>
                      </w:rPr>
                      <m:t>/</m:t>
                    </m:r>
                    <m:sSub>
                      <m:sSubPr>
                        <m:ctrlPr>
                          <w:rPr>
                            <w:rFonts w:hint="default" w:ascii="DejaVu Math TeX Gyre" w:hAnsi="DejaVu Math TeX Gyre" w:cs="Times New Roman Regular"/>
                            <w:i/>
                            <w:iCs/>
                            <w:color w:val="0000FF"/>
                            <w:sz w:val="21"/>
                          </w:rPr>
                        </m:ctrlPr>
                      </m:sSubPr>
                      <m:e>
                        <m:r>
                          <m:rPr>
                            <m:nor/>
                          </m:rPr>
                          <w:rPr>
                            <w:rFonts w:hint="default" w:ascii="DejaVu Math TeX Gyre" w:hAnsi="DejaVu Math TeX Gyre" w:cs="Times New Roman Regular"/>
                            <w:b w:val="0"/>
                            <w:i/>
                            <w:iCs/>
                            <w:color w:val="0000FF"/>
                            <w:sz w:val="21"/>
                          </w:rPr>
                          <m:t>x</m:t>
                        </m:r>
                        <m:ctrlPr>
                          <w:rPr>
                            <w:rFonts w:hint="default" w:ascii="DejaVu Math TeX Gyre" w:hAnsi="DejaVu Math TeX Gyre" w:cs="Times New Roman Regular"/>
                            <w:i/>
                            <w:iCs/>
                            <w:color w:val="0000FF"/>
                            <w:sz w:val="21"/>
                          </w:rPr>
                        </m:ctrlPr>
                      </m:e>
                      <m:sub>
                        <m:r>
                          <m:rPr>
                            <m:nor/>
                          </m:rPr>
                          <w:rPr>
                            <w:rFonts w:hint="default" w:ascii="DejaVu Math TeX Gyre" w:hAnsi="DejaVu Math TeX Gyre" w:cs="Times New Roman Regular"/>
                            <w:b w:val="0"/>
                            <w:i/>
                            <w:iCs/>
                            <w:color w:val="0000FF"/>
                            <w:sz w:val="21"/>
                          </w:rPr>
                          <m:t>ij</m:t>
                        </m:r>
                        <m:ctrlPr>
                          <w:rPr>
                            <w:rFonts w:hint="default" w:ascii="DejaVu Math TeX Gyre" w:hAnsi="DejaVu Math TeX Gyre" w:cs="Times New Roman Regular"/>
                            <w:i/>
                            <w:iCs/>
                            <w:color w:val="0000FF"/>
                            <w:sz w:val="21"/>
                          </w:rPr>
                        </m:ctrlPr>
                      </m:sub>
                    </m:sSub>
                    <m:ctrlPr>
                      <w:rPr>
                        <w:rFonts w:hint="default" w:ascii="DejaVu Math TeX Gyre" w:hAnsi="DejaVu Math TeX Gyre" w:cs="Times New Roman Regular"/>
                        <w:i/>
                        <w:iCs/>
                        <w:color w:val="0000FF"/>
                        <w:sz w:val="21"/>
                      </w:rPr>
                    </m:ctrlPr>
                  </m:den>
                </m:f>
                <m:ctrlPr>
                  <w:rPr>
                    <w:rFonts w:hint="default" w:ascii="DejaVu Math TeX Gyre" w:hAnsi="DejaVu Math TeX Gyre" w:cs="Times New Roman Regular"/>
                    <w:i/>
                    <w:iCs/>
                    <w:color w:val="0000FF"/>
                    <w:sz w:val="21"/>
                  </w:rPr>
                </m:ctrlPr>
              </m:e>
            </m:d>
            <m:ctrlPr>
              <w:rPr>
                <w:rFonts w:hint="default" w:ascii="DejaVu Math TeX Gyre" w:hAnsi="DejaVu Math TeX Gyre" w:cs="Times New Roman Regular"/>
                <w:i/>
                <w:iCs/>
                <w:color w:val="0000FF"/>
                <w:sz w:val="21"/>
              </w:rPr>
            </m:ctrlPr>
          </m:e>
        </m:nary>
      </m:oMath>
      <w:r>
        <w:rPr>
          <w:rFonts w:hint="default" w:hAnsi="DejaVu Math TeX Gyre" w:cs="Times New Roman Regular"/>
          <w:i/>
          <w:iCs/>
          <w:color w:val="0000FF"/>
          <w:sz w:val="21"/>
          <w:lang w:val="en-US"/>
        </w:rPr>
        <w:t xml:space="preserve"> </w:t>
      </w:r>
      <w:r>
        <w:rPr>
          <w:rFonts w:hint="default" w:hAnsi="DejaVu Math TeX Gyre" w:cs="Times New Roman Regular"/>
          <w:i w:val="0"/>
          <w:color w:val="0000FF"/>
          <w:sz w:val="21"/>
          <w:lang w:val="en-US"/>
        </w:rPr>
        <w:t xml:space="preserve">                         </w:t>
      </w:r>
      <w:r>
        <w:rPr>
          <w:rFonts w:hint="default" w:ascii="Times New Roman Regular" w:hAnsi="Times New Roman Regular" w:cs="Times New Roman Regular"/>
          <w:i w:val="0"/>
          <w:color w:val="0000FF"/>
          <w:sz w:val="21"/>
          <w:lang w:val="en-US"/>
        </w:rPr>
        <w:t>(24)</w:t>
      </w:r>
    </w:p>
    <w:p w14:paraId="30935AC8">
      <w:pPr>
        <w:spacing w:line="300" w:lineRule="auto"/>
        <w:rPr>
          <w:rFonts w:hint="default" w:ascii="Times New Roman Regular" w:hAnsi="Times New Roman Regular" w:cs="Times New Roman Regular"/>
          <w:i w:val="0"/>
          <w:color w:val="0000FF"/>
          <w:sz w:val="21"/>
        </w:rPr>
      </w:pPr>
      <w:r>
        <w:rPr>
          <w:rFonts w:hint="default" w:ascii="Times New Roman Regular" w:hAnsi="Times New Roman Regular" w:cs="Times New Roman Regular"/>
          <w:i w:val="0"/>
          <w:color w:val="0000FF"/>
          <w:sz w:val="21"/>
        </w:rPr>
        <w:t>where</w:t>
      </w:r>
      <w:r>
        <w:rPr>
          <w:rFonts w:hint="eastAsia" w:ascii="Times New Roman Regular" w:hAnsi="Times New Roman Regular" w:cs="Times New Roman Regular"/>
          <w:i w:val="0"/>
          <w:color w:val="0000FF"/>
          <w:sz w:val="21"/>
          <w:lang w:val="en-US" w:eastAsia="zh-CN"/>
        </w:rPr>
        <w:t xml:space="preserve"> </w:t>
      </w:r>
      <m:oMath>
        <m:sSub>
          <m:sSubPr>
            <m:ctrlPr>
              <w:rPr>
                <w:rFonts w:hint="default" w:ascii="DejaVu Math TeX Gyre" w:hAnsi="DejaVu Math TeX Gyre" w:cs="Times New Roman Regular"/>
                <w:color w:val="0000FF"/>
                <w:sz w:val="21"/>
              </w:rPr>
            </m:ctrlPr>
          </m:sSubPr>
          <m:e>
            <m:acc>
              <m:accPr>
                <m:ctrlPr>
                  <w:rPr>
                    <w:rFonts w:hint="default" w:ascii="DejaVu Math TeX Gyre" w:hAnsi="DejaVu Math TeX Gyre" w:cs="Times New Roman Regular"/>
                    <w:color w:val="0000FF"/>
                    <w:sz w:val="21"/>
                  </w:rPr>
                </m:ctrlPr>
              </m:accPr>
              <m:e>
                <m:r>
                  <m:rPr>
                    <m:nor/>
                    <m:sty m:val="p"/>
                  </m:rPr>
                  <w:rPr>
                    <w:rFonts w:hint="default" w:ascii="DejaVu Math TeX Gyre" w:hAnsi="DejaVu Math TeX Gyre" w:cs="Times New Roman Regular"/>
                    <w:b w:val="0"/>
                    <w:i w:val="0"/>
                    <w:color w:val="0000FF"/>
                    <w:sz w:val="21"/>
                  </w:rPr>
                  <m:t>y</m:t>
                </m:r>
                <m:ctrlPr>
                  <w:rPr>
                    <w:rFonts w:ascii="DejaVu Math TeX Gyre" w:hAnsi="DejaVu Math TeX Gyre" w:cs="Times New Roman Regular"/>
                    <w:color w:val="0000FF"/>
                    <w:sz w:val="21"/>
                  </w:rPr>
                </m:ctrlPr>
              </m:e>
            </m:acc>
            <m:ctrlPr>
              <w:rPr>
                <w:rFonts w:hint="default" w:ascii="DejaVu Math TeX Gyre" w:hAnsi="DejaVu Math TeX Gyre" w:cs="Times New Roman Regular"/>
                <w:color w:val="0000FF"/>
                <w:sz w:val="21"/>
              </w:rPr>
            </m:ctrlPr>
          </m:e>
          <m:sub>
            <m:r>
              <m:rPr>
                <m:nor/>
                <m:sty m:val="p"/>
              </m:rPr>
              <w:rPr>
                <w:rFonts w:hint="default" w:ascii="DejaVu Math TeX Gyre" w:hAnsi="DejaVu Math TeX Gyre" w:cs="Times New Roman Regular"/>
                <w:b w:val="0"/>
                <w:i w:val="0"/>
                <w:color w:val="0000FF"/>
                <w:sz w:val="21"/>
              </w:rPr>
              <m:t>j</m:t>
            </m:r>
            <m:ctrlPr>
              <w:rPr>
                <w:rFonts w:hint="default" w:ascii="DejaVu Math TeX Gyre" w:hAnsi="DejaVu Math TeX Gyre" w:cs="Times New Roman Regular"/>
                <w:color w:val="0000FF"/>
                <w:sz w:val="21"/>
              </w:rPr>
            </m:ctrlPr>
          </m:sub>
        </m:sSub>
      </m:oMath>
      <w:r>
        <w:rPr>
          <w:rFonts w:hint="default" w:ascii="Times New Roman Regular" w:hAnsi="Times New Roman Regular" w:cs="Times New Roman Regular"/>
          <w:i w:val="0"/>
          <w:color w:val="0000FF"/>
          <w:sz w:val="21"/>
        </w:rPr>
        <w:t xml:space="preserve"> is the baseline prediction, </w:t>
      </w:r>
      <m:oMath>
        <m:sSubSup>
          <m:sSubSupPr>
            <m:ctrlPr>
              <w:rPr>
                <w:rFonts w:hint="default" w:ascii="DejaVu Math TeX Gyre" w:hAnsi="DejaVu Math TeX Gyre" w:cs="Times New Roman Regular"/>
                <w:color w:val="0000FF"/>
                <w:sz w:val="21"/>
              </w:rPr>
            </m:ctrlPr>
          </m:sSubSupPr>
          <m:e>
            <m:acc>
              <m:accPr>
                <m:ctrlPr>
                  <w:rPr>
                    <w:rFonts w:hint="default" w:ascii="DejaVu Math TeX Gyre" w:hAnsi="DejaVu Math TeX Gyre" w:cs="Times New Roman Regular"/>
                    <w:color w:val="0000FF"/>
                    <w:sz w:val="21"/>
                  </w:rPr>
                </m:ctrlPr>
              </m:accPr>
              <m:e>
                <m:r>
                  <m:rPr>
                    <m:nor/>
                    <m:sty m:val="p"/>
                  </m:rPr>
                  <w:rPr>
                    <w:rFonts w:hint="default" w:ascii="DejaVu Math TeX Gyre" w:hAnsi="DejaVu Math TeX Gyre" w:cs="Times New Roman Regular"/>
                    <w:b w:val="0"/>
                    <w:i w:val="0"/>
                    <w:color w:val="0000FF"/>
                    <w:sz w:val="21"/>
                  </w:rPr>
                  <m:t>y</m:t>
                </m:r>
                <m:ctrlPr>
                  <w:rPr>
                    <w:rFonts w:ascii="DejaVu Math TeX Gyre" w:hAnsi="DejaVu Math TeX Gyre" w:cs="Times New Roman Regular"/>
                    <w:color w:val="0000FF"/>
                    <w:sz w:val="21"/>
                  </w:rPr>
                </m:ctrlPr>
              </m:e>
            </m:acc>
            <m:ctrlPr>
              <w:rPr>
                <w:rFonts w:hint="default" w:ascii="DejaVu Math TeX Gyre" w:hAnsi="DejaVu Math TeX Gyre" w:cs="Times New Roman Regular"/>
                <w:color w:val="0000FF"/>
                <w:sz w:val="21"/>
              </w:rPr>
            </m:ctrlPr>
          </m:e>
          <m:sub>
            <m:r>
              <m:rPr>
                <m:nor/>
                <m:sty m:val="p"/>
              </m:rPr>
              <w:rPr>
                <w:rFonts w:hint="default" w:ascii="DejaVu Math TeX Gyre" w:hAnsi="DejaVu Math TeX Gyre" w:cs="Times New Roman Regular"/>
                <w:b w:val="0"/>
                <w:i w:val="0"/>
                <w:color w:val="0000FF"/>
                <w:sz w:val="21"/>
              </w:rPr>
              <m:t>j</m:t>
            </m:r>
            <m:ctrlPr>
              <w:rPr>
                <w:rFonts w:hint="default" w:ascii="DejaVu Math TeX Gyre" w:hAnsi="DejaVu Math TeX Gyre" w:cs="Times New Roman Regular"/>
                <w:color w:val="0000FF"/>
                <w:sz w:val="21"/>
              </w:rPr>
            </m:ctrlPr>
          </m:sub>
          <m:sup>
            <m:r>
              <m:rPr>
                <m:nor/>
                <m:sty m:val="p"/>
              </m:rPr>
              <w:rPr>
                <w:rFonts w:hint="default" w:ascii="DejaVu Math TeX Gyre" w:hAnsi="DejaVu Math TeX Gyre" w:cs="Times New Roman Regular"/>
                <w:b w:val="0"/>
                <w:i w:val="0"/>
                <w:color w:val="0000FF"/>
                <w:sz w:val="21"/>
              </w:rPr>
              <m:t>+</m:t>
            </m:r>
            <m:ctrlPr>
              <w:rPr>
                <w:rFonts w:hint="default" w:ascii="DejaVu Math TeX Gyre" w:hAnsi="DejaVu Math TeX Gyre" w:cs="Times New Roman Regular"/>
                <w:color w:val="0000FF"/>
                <w:sz w:val="21"/>
              </w:rPr>
            </m:ctrlPr>
          </m:sup>
        </m:sSubSup>
      </m:oMath>
      <w:r>
        <w:rPr>
          <w:rFonts w:hint="default" w:ascii="Times New Roman Regular" w:hAnsi="Times New Roman Regular" w:cs="Times New Roman Regular"/>
          <w:i w:val="0"/>
          <w:color w:val="0000FF"/>
          <w:sz w:val="21"/>
        </w:rPr>
        <w:t xml:space="preserve"> is the prediction after perturbing feature i by a small fraction, and </w:t>
      </w:r>
      <m:oMath>
        <m:sSub>
          <m:sSubPr>
            <m:ctrlPr>
              <w:rPr>
                <w:rFonts w:hint="default" w:ascii="DejaVu Math TeX Gyre" w:hAnsi="DejaVu Math TeX Gyre" w:cs="Times New Roman Regular"/>
                <w:color w:val="0000FF"/>
                <w:sz w:val="21"/>
              </w:rPr>
            </m:ctrlPr>
          </m:sSubPr>
          <m:e>
            <m:r>
              <m:rPr>
                <m:nor/>
                <m:sty m:val="p"/>
              </m:rPr>
              <w:rPr>
                <w:rFonts w:hint="default" w:ascii="DejaVu Math TeX Gyre" w:hAnsi="DejaVu Math TeX Gyre" w:cs="Times New Roman Regular"/>
                <w:b w:val="0"/>
                <w:i w:val="0"/>
                <w:color w:val="0000FF"/>
                <w:sz w:val="21"/>
              </w:rPr>
              <m:t>x</m:t>
            </m:r>
            <m:ctrlPr>
              <w:rPr>
                <w:rFonts w:hint="default" w:ascii="DejaVu Math TeX Gyre" w:hAnsi="DejaVu Math TeX Gyre" w:cs="Times New Roman Regular"/>
                <w:color w:val="0000FF"/>
                <w:sz w:val="21"/>
              </w:rPr>
            </m:ctrlPr>
          </m:e>
          <m:sub>
            <m:r>
              <m:rPr>
                <m:nor/>
                <m:sty m:val="p"/>
              </m:rPr>
              <w:rPr>
                <w:rFonts w:hint="default" w:ascii="DejaVu Math TeX Gyre" w:hAnsi="DejaVu Math TeX Gyre" w:cs="Times New Roman Regular"/>
                <w:b w:val="0"/>
                <w:i w:val="0"/>
                <w:color w:val="0000FF"/>
                <w:sz w:val="21"/>
              </w:rPr>
              <m:t>ij</m:t>
            </m:r>
            <m:ctrlPr>
              <w:rPr>
                <w:rFonts w:hint="default" w:ascii="DejaVu Math TeX Gyre" w:hAnsi="DejaVu Math TeX Gyre" w:cs="Times New Roman Regular"/>
                <w:color w:val="0000FF"/>
                <w:sz w:val="21"/>
              </w:rPr>
            </m:ctrlPr>
          </m:sub>
        </m:sSub>
      </m:oMath>
      <w:r>
        <w:rPr>
          <w:rFonts w:hint="default" w:ascii="Times New Roman Regular" w:hAnsi="Times New Roman Regular" w:cs="Times New Roman Regular"/>
          <w:i w:val="0"/>
          <w:color w:val="0000FF"/>
          <w:sz w:val="21"/>
        </w:rPr>
        <w:t xml:space="preserve"> is the original value of feature i for sample j. An absolute value greater than 1 indicates an elastic response, while less than 1 indicates an inelastic response.</w:t>
      </w:r>
    </w:p>
    <w:p w14:paraId="4D852959">
      <w:pPr>
        <w:spacing w:line="300" w:lineRule="auto"/>
        <w:rPr>
          <w:rFonts w:ascii="Times New Roman Regular" w:hAnsi="Times New Roman Regular" w:cs="Times New Roman Regular"/>
          <w:color w:val="0000FF"/>
        </w:rPr>
      </w:pPr>
    </w:p>
    <w:p w14:paraId="59E09144">
      <w:pPr>
        <w:spacing w:line="300" w:lineRule="auto"/>
        <w:outlineLvl w:val="3"/>
        <w:rPr>
          <w:rFonts w:hint="eastAsia"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2.7.3.2 Error propagation</w:t>
      </w:r>
    </w:p>
    <w:p w14:paraId="1C2D8D0D">
      <w:pPr>
        <w:spacing w:line="300" w:lineRule="auto"/>
        <w:ind w:firstLine="420"/>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Monte Carlo simulation was specifically used to analyze the propagation of input measurement errors to the final predictions (</w:t>
      </w:r>
      <w:r>
        <w:rPr>
          <w:rFonts w:hint="default" w:ascii="Times New Roman Regular" w:hAnsi="Times New Roman Regular" w:cs="Times New Roman Regular"/>
          <w:color w:val="0000FF"/>
          <w:lang w:val="en-US" w:eastAsia="zh-CN"/>
        </w:rPr>
        <w:t xml:space="preserve">Dega et al., 2023). Assuming the input hydrochemical parameters follow a normal distribution with a coefficient of variation (CV) of 5% (representing typical instrumental uncertainty), the perturbed input matrix </w:t>
      </w:r>
      <w:r>
        <w:rPr>
          <w:rFonts w:hint="eastAsia" w:ascii="Times New Roman Regular" w:hAnsi="Times New Roman Regular" w:cs="Times New Roman Regular"/>
          <w:color w:val="0000FF"/>
          <w:lang w:val="en-US" w:eastAsia="zh-CN"/>
        </w:rPr>
        <w:t>X</w:t>
      </w:r>
      <w:r>
        <w:rPr>
          <w:rFonts w:hint="eastAsia" w:ascii="Times New Roman Regular" w:hAnsi="Times New Roman Regular" w:cs="Times New Roman Regular"/>
          <w:color w:val="0000FF"/>
          <w:vertAlign w:val="subscript"/>
          <w:lang w:val="en-US" w:eastAsia="zh-CN"/>
        </w:rPr>
        <w:t>mc</w:t>
      </w:r>
      <w:r>
        <w:rPr>
          <w:rFonts w:hint="default" w:ascii="Times New Roman Regular" w:hAnsi="Times New Roman Regular" w:cs="Times New Roman Regular"/>
          <w:color w:val="0000FF"/>
          <w:lang w:val="en-US" w:eastAsia="zh-CN"/>
        </w:rPr>
        <w:t xml:space="preserve"> was generated as:</w:t>
      </w:r>
    </w:p>
    <w:p w14:paraId="4159D0EE">
      <w:pPr>
        <w:spacing w:line="300" w:lineRule="auto"/>
        <w:jc w:val="right"/>
        <w:rPr>
          <w:rFonts w:hint="default" w:ascii="Times New Roman Regular" w:hAnsi="Times New Roman Regular" w:cs="Times New Roman Regular"/>
          <w:color w:val="0000FF"/>
          <w:lang w:val="en-US" w:eastAsia="zh-CN"/>
        </w:rPr>
      </w:pPr>
      <m:oMath>
        <m:sSubSup>
          <m:sSubSupPr>
            <m:ctrlPr>
              <w:rPr>
                <w:rFonts w:hint="default" w:ascii="DejaVu Math TeX Gyre" w:hAnsi="DejaVu Math TeX Gyre"/>
                <w:i/>
                <w:iCs/>
                <w:color w:val="0000FF"/>
                <w:sz w:val="21"/>
              </w:rPr>
            </m:ctrlPr>
          </m:sSubSupPr>
          <m:e>
            <m:r>
              <m:rPr/>
              <w:rPr>
                <w:rFonts w:hint="default" w:ascii="DejaVu Math TeX Gyre" w:hAnsi="DejaVu Math TeX Gyre"/>
                <w:color w:val="0000FF"/>
                <w:sz w:val="21"/>
              </w:rPr>
              <m:t>x</m:t>
            </m:r>
            <m:ctrlPr>
              <w:rPr>
                <w:rFonts w:ascii="DejaVu Math TeX Gyre" w:hAnsi="DejaVu Math TeX Gyre"/>
                <w:i/>
                <w:iCs/>
                <w:color w:val="0000FF"/>
                <w:sz w:val="21"/>
              </w:rPr>
            </m:ctrlPr>
          </m:e>
          <m:sub>
            <m:r>
              <m:rPr/>
              <w:rPr>
                <w:rFonts w:hint="default" w:ascii="DejaVu Math TeX Gyre" w:hAnsi="DejaVu Math TeX Gyre"/>
                <w:color w:val="0000FF"/>
                <w:sz w:val="21"/>
              </w:rPr>
              <m:t>ij</m:t>
            </m:r>
            <m:ctrlPr>
              <w:rPr>
                <w:rFonts w:ascii="DejaVu Math TeX Gyre" w:hAnsi="DejaVu Math TeX Gyre"/>
                <w:i/>
                <w:iCs/>
                <w:color w:val="0000FF"/>
                <w:sz w:val="21"/>
              </w:rPr>
            </m:ctrlPr>
          </m:sub>
          <m:sup>
            <m:r>
              <m:rPr/>
              <w:rPr>
                <w:rFonts w:hint="default" w:ascii="DejaVu Math TeX Gyre" w:hAnsi="DejaVu Math TeX Gyre"/>
                <w:color w:val="0000FF"/>
                <w:sz w:val="21"/>
              </w:rPr>
              <m:t>mc</m:t>
            </m:r>
            <m:ctrlPr>
              <w:rPr>
                <w:rFonts w:ascii="DejaVu Math TeX Gyre" w:hAnsi="DejaVu Math TeX Gyre"/>
                <w:i/>
                <w:iCs/>
                <w:color w:val="0000FF"/>
                <w:sz w:val="21"/>
              </w:rPr>
            </m:ctrlPr>
          </m:sup>
        </m:sSubSup>
        <m:r>
          <m:rPr/>
          <w:rPr>
            <w:rFonts w:hint="default" w:ascii="DejaVu Math TeX Gyre" w:hAnsi="DejaVu Math TeX Gyre"/>
            <w:color w:val="0000FF"/>
            <w:sz w:val="21"/>
          </w:rPr>
          <m:t>=</m:t>
        </m:r>
        <m:sSub>
          <m:sSubPr>
            <m:ctrlPr>
              <w:rPr>
                <w:rFonts w:hint="default" w:ascii="DejaVu Math TeX Gyre" w:hAnsi="DejaVu Math TeX Gyre"/>
                <w:i/>
                <w:iCs/>
                <w:color w:val="0000FF"/>
                <w:sz w:val="21"/>
              </w:rPr>
            </m:ctrlPr>
          </m:sSubPr>
          <m:e>
            <m:r>
              <m:rPr/>
              <w:rPr>
                <w:rFonts w:hint="default" w:ascii="DejaVu Math TeX Gyre" w:hAnsi="DejaVu Math TeX Gyre"/>
                <w:color w:val="0000FF"/>
                <w:sz w:val="21"/>
              </w:rPr>
              <m:t>x</m:t>
            </m:r>
            <m:ctrlPr>
              <w:rPr>
                <w:rFonts w:ascii="DejaVu Math TeX Gyre" w:hAnsi="DejaVu Math TeX Gyre"/>
                <w:i/>
                <w:iCs/>
                <w:color w:val="0000FF"/>
                <w:sz w:val="21"/>
              </w:rPr>
            </m:ctrlPr>
          </m:e>
          <m:sub>
            <m:r>
              <m:rPr/>
              <w:rPr>
                <w:rFonts w:hint="default" w:ascii="DejaVu Math TeX Gyre" w:hAnsi="DejaVu Math TeX Gyre"/>
                <w:color w:val="0000FF"/>
                <w:sz w:val="21"/>
              </w:rPr>
              <m:t>ij</m:t>
            </m:r>
            <m:ctrlPr>
              <w:rPr>
                <w:rFonts w:ascii="DejaVu Math TeX Gyre" w:hAnsi="DejaVu Math TeX Gyre"/>
                <w:color w:val="0000FF"/>
                <w:sz w:val="21"/>
              </w:rPr>
            </m:ctrlPr>
          </m:sub>
        </m:sSub>
        <m:r>
          <m:rPr/>
          <w:rPr>
            <w:rFonts w:hint="default" w:ascii="DejaVu Math TeX Gyre" w:hAnsi="DejaVu Math TeX Gyre"/>
            <w:color w:val="0000FF"/>
            <w:sz w:val="21"/>
          </w:rPr>
          <m:t>+</m:t>
        </m:r>
        <m:sSub>
          <m:sSubPr>
            <m:ctrlPr>
              <w:rPr>
                <w:rFonts w:hint="default" w:ascii="DejaVu Math TeX Gyre" w:hAnsi="DejaVu Math TeX Gyre"/>
                <w:i/>
                <w:iCs/>
                <w:color w:val="0000FF"/>
                <w:sz w:val="21"/>
              </w:rPr>
            </m:ctrlPr>
          </m:sSubPr>
          <m:e>
            <m:r>
              <m:rPr/>
              <w:rPr>
                <w:rFonts w:hint="default" w:ascii="DejaVu Math TeX Gyre" w:hAnsi="DejaVu Math TeX Gyre"/>
                <w:color w:val="0000FF"/>
                <w:sz w:val="21"/>
              </w:rPr>
              <m:t>ϵ</m:t>
            </m:r>
            <m:ctrlPr>
              <w:rPr>
                <w:rFonts w:ascii="DejaVu Math TeX Gyre" w:hAnsi="DejaVu Math TeX Gyre"/>
                <w:i/>
                <w:iCs/>
                <w:color w:val="0000FF"/>
                <w:sz w:val="21"/>
              </w:rPr>
            </m:ctrlPr>
          </m:e>
          <m:sub>
            <m:r>
              <m:rPr/>
              <w:rPr>
                <w:rFonts w:hint="default" w:ascii="DejaVu Math TeX Gyre" w:hAnsi="DejaVu Math TeX Gyre"/>
                <w:color w:val="0000FF"/>
                <w:sz w:val="21"/>
              </w:rPr>
              <m:t>ij</m:t>
            </m:r>
            <m:ctrlPr>
              <w:rPr>
                <w:rFonts w:ascii="DejaVu Math TeX Gyre" w:hAnsi="DejaVu Math TeX Gyre"/>
                <w:i/>
                <w:iCs/>
                <w:color w:val="0000FF"/>
                <w:sz w:val="21"/>
              </w:rPr>
            </m:ctrlPr>
          </m:sub>
        </m:sSub>
        <m:r>
          <m:rPr/>
          <w:rPr>
            <w:rFonts w:hint="default" w:ascii="DejaVu Math TeX Gyre" w:hAnsi="DejaVu Math TeX Gyre"/>
            <w:color w:val="0000FF"/>
            <w:sz w:val="21"/>
          </w:rPr>
          <m:t>, </m:t>
        </m:r>
        <m:sSub>
          <m:sSubPr>
            <m:ctrlPr>
              <w:rPr>
                <w:rFonts w:hint="default" w:ascii="DejaVu Math TeX Gyre" w:hAnsi="DejaVu Math TeX Gyre"/>
                <w:i/>
                <w:iCs/>
                <w:color w:val="0000FF"/>
                <w:sz w:val="21"/>
              </w:rPr>
            </m:ctrlPr>
          </m:sSubPr>
          <m:e>
            <m:r>
              <m:rPr/>
              <w:rPr>
                <w:rFonts w:hint="default" w:ascii="DejaVu Math TeX Gyre" w:hAnsi="DejaVu Math TeX Gyre"/>
                <w:color w:val="0000FF"/>
                <w:sz w:val="21"/>
              </w:rPr>
              <m:t>ϵ</m:t>
            </m:r>
            <m:ctrlPr>
              <w:rPr>
                <w:rFonts w:ascii="DejaVu Math TeX Gyre" w:hAnsi="DejaVu Math TeX Gyre"/>
                <w:i/>
                <w:iCs/>
                <w:color w:val="0000FF"/>
                <w:sz w:val="21"/>
              </w:rPr>
            </m:ctrlPr>
          </m:e>
          <m:sub>
            <m:r>
              <m:rPr/>
              <w:rPr>
                <w:rFonts w:hint="default" w:ascii="DejaVu Math TeX Gyre" w:hAnsi="DejaVu Math TeX Gyre"/>
                <w:color w:val="0000FF"/>
                <w:sz w:val="21"/>
              </w:rPr>
              <m:t>ij</m:t>
            </m:r>
            <m:ctrlPr>
              <w:rPr>
                <w:rFonts w:ascii="DejaVu Math TeX Gyre" w:hAnsi="DejaVu Math TeX Gyre"/>
                <w:i/>
                <w:iCs/>
                <w:color w:val="0000FF"/>
                <w:sz w:val="21"/>
              </w:rPr>
            </m:ctrlPr>
          </m:sub>
        </m:sSub>
        <m:r>
          <m:rPr/>
          <w:rPr>
            <w:rFonts w:hint="default" w:ascii="DejaVu Math TeX Gyre" w:hAnsi="DejaVu Math TeX Gyre"/>
            <w:color w:val="0000FF"/>
            <w:sz w:val="21"/>
          </w:rPr>
          <m:t>∼</m:t>
        </m:r>
        <m:r>
          <m:rPr>
            <m:scr m:val="script"/>
          </m:rPr>
          <w:rPr>
            <w:rFonts w:hint="default" w:ascii="DejaVu Math TeX Gyre" w:hAnsi="DejaVu Math TeX Gyre" w:eastAsia="MS Mincho"/>
            <w:color w:val="0000FF"/>
            <w:sz w:val="21"/>
          </w:rPr>
          <m:t>N</m:t>
        </m:r>
        <m:r>
          <m:rPr/>
          <w:rPr>
            <w:rFonts w:hint="default" w:ascii="DejaVu Math TeX Gyre" w:hAnsi="DejaVu Math TeX Gyre"/>
            <w:color w:val="0000FF"/>
            <w:sz w:val="21"/>
          </w:rPr>
          <m:t>(0,</m:t>
        </m:r>
        <m:sSub>
          <m:sSubPr>
            <m:ctrlPr>
              <w:rPr>
                <w:rFonts w:hint="default" w:ascii="DejaVu Math TeX Gyre" w:hAnsi="DejaVu Math TeX Gyre"/>
                <w:i/>
                <w:iCs/>
                <w:color w:val="0000FF"/>
                <w:sz w:val="21"/>
              </w:rPr>
            </m:ctrlPr>
          </m:sSubPr>
          <m:e>
            <m:r>
              <m:rPr/>
              <w:rPr>
                <w:rFonts w:hint="default" w:ascii="DejaVu Math TeX Gyre" w:hAnsi="DejaVu Math TeX Gyre"/>
                <w:color w:val="0000FF"/>
                <w:sz w:val="21"/>
              </w:rPr>
              <m:t>σ</m:t>
            </m:r>
            <m:ctrlPr>
              <w:rPr>
                <w:rFonts w:ascii="DejaVu Math TeX Gyre" w:hAnsi="DejaVu Math TeX Gyre"/>
                <w:i/>
                <w:iCs/>
                <w:color w:val="0000FF"/>
                <w:sz w:val="21"/>
              </w:rPr>
            </m:ctrlPr>
          </m:e>
          <m:sub>
            <m:r>
              <m:rPr/>
              <w:rPr>
                <w:rFonts w:hint="default" w:ascii="DejaVu Math TeX Gyre" w:hAnsi="DejaVu Math TeX Gyre"/>
                <w:color w:val="0000FF"/>
                <w:sz w:val="21"/>
              </w:rPr>
              <m:t>i</m:t>
            </m:r>
            <m:ctrlPr>
              <w:rPr>
                <w:rFonts w:ascii="DejaVu Math TeX Gyre" w:hAnsi="DejaVu Math TeX Gyre"/>
                <w:i/>
                <w:iCs/>
                <w:color w:val="0000FF"/>
                <w:sz w:val="21"/>
              </w:rPr>
            </m:ctrlPr>
          </m:sub>
        </m:sSub>
        <m:r>
          <m:rPr/>
          <w:rPr>
            <w:rFonts w:hint="default" w:ascii="DejaVu Math TeX Gyre" w:hAnsi="DejaVu Math TeX Gyre"/>
            <w:color w:val="0000FF"/>
            <w:sz w:val="21"/>
          </w:rPr>
          <m:t>)</m:t>
        </m:r>
      </m:oMath>
      <w:r>
        <w:rPr>
          <w:rFonts w:hint="default" w:hAnsi="DejaVu Math TeX Gyre"/>
          <w:i/>
          <w:iCs/>
          <w:color w:val="0000FF"/>
          <w:sz w:val="21"/>
          <w:lang w:val="en-US"/>
        </w:rPr>
        <w:t xml:space="preserve"> </w:t>
      </w:r>
      <w:r>
        <w:rPr>
          <w:rFonts w:hint="default" w:hAnsi="DejaVu Math TeX Gyre"/>
          <w:i w:val="0"/>
          <w:color w:val="0000FF"/>
          <w:sz w:val="21"/>
          <w:lang w:val="en-US"/>
        </w:rPr>
        <w:t xml:space="preserve">                    </w:t>
      </w:r>
      <w:r>
        <w:rPr>
          <w:rFonts w:hint="default" w:ascii="Times New Roman Regular" w:hAnsi="Times New Roman Regular" w:cs="Times New Roman Regular"/>
          <w:i w:val="0"/>
          <w:color w:val="0000FF"/>
          <w:sz w:val="21"/>
          <w:lang w:val="en-US"/>
        </w:rPr>
        <w:t>(25)</w:t>
      </w:r>
    </w:p>
    <w:p w14:paraId="3C123433">
      <w:pPr>
        <w:spacing w:line="300" w:lineRule="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 xml:space="preserve">where </w:t>
      </w:r>
      <m:oMath>
        <m:sSub>
          <m:sSubPr>
            <m:ctrlPr>
              <w:rPr>
                <w:rFonts w:hint="default" w:ascii="DejaVu Math TeX Gyre" w:hAnsi="DejaVu Math TeX Gyre" w:cs="Times New Roman Regular"/>
                <w:color w:val="0000FF"/>
                <w:sz w:val="21"/>
              </w:rPr>
            </m:ctrlPr>
          </m:sSubPr>
          <m:e>
            <m:r>
              <m:rPr>
                <m:nor/>
              </m:rPr>
              <w:rPr>
                <w:rFonts w:hint="default" w:ascii="DejaVu Math TeX Gyre" w:hAnsi="DejaVu Math TeX Gyre" w:cs="Times New Roman Regular"/>
                <w:i/>
                <w:color w:val="0000FF"/>
                <w:sz w:val="21"/>
              </w:rPr>
              <m:t>σ</m:t>
            </m:r>
            <m:ctrlPr>
              <w:rPr>
                <w:rFonts w:ascii="DejaVu Math TeX Gyre" w:hAnsi="DejaVu Math TeX Gyre" w:cs="Times New Roman Regular"/>
                <w:color w:val="0000FF"/>
                <w:sz w:val="21"/>
              </w:rPr>
            </m:ctrlPr>
          </m:e>
          <m:sub>
            <m:r>
              <m:rPr>
                <m:nor/>
              </m:rPr>
              <w:rPr>
                <w:rFonts w:hint="default" w:ascii="DejaVu Math TeX Gyre" w:hAnsi="DejaVu Math TeX Gyre" w:cs="Times New Roman Regular"/>
                <w:i/>
                <w:color w:val="0000FF"/>
                <w:sz w:val="21"/>
              </w:rPr>
              <m:t>i</m:t>
            </m:r>
            <m:ctrlPr>
              <w:rPr>
                <w:rFonts w:ascii="DejaVu Math TeX Gyre" w:hAnsi="DejaVu Math TeX Gyre" w:cs="Times New Roman Regular"/>
                <w:color w:val="0000FF"/>
                <w:sz w:val="21"/>
              </w:rPr>
            </m:ctrlPr>
          </m:sub>
        </m:sSub>
      </m:oMath>
      <w:r>
        <w:rPr>
          <w:rFonts w:hint="default" w:ascii="Times New Roman Regular" w:hAnsi="Times New Roman Regular" w:cs="Times New Roman Regular"/>
          <w:i w:val="0"/>
          <w:color w:val="0000FF"/>
          <w:sz w:val="21"/>
          <w:lang w:val="en-US" w:eastAsia="zh-CN"/>
        </w:rPr>
        <w:t>=</w:t>
      </w:r>
      <w:r>
        <w:rPr>
          <w:rFonts w:hint="default" w:ascii="Times New Roman Regular" w:hAnsi="Times New Roman Regular" w:cs="Times New Roman Regular"/>
          <w:color w:val="0000FF"/>
          <w:lang w:val="en-US" w:eastAsia="zh-CN"/>
        </w:rPr>
        <w:t xml:space="preserve"> </w:t>
      </w:r>
      <m:oMath>
        <m:sSub>
          <m:sSubPr>
            <m:ctrlPr>
              <w:rPr>
                <w:rFonts w:hint="default" w:ascii="DejaVu Math TeX Gyre" w:hAnsi="DejaVu Math TeX Gyre" w:cs="Times New Roman Regular"/>
                <w:color w:val="0000FF"/>
                <w:sz w:val="21"/>
              </w:rPr>
            </m:ctrlPr>
          </m:sSubPr>
          <m:e>
            <m:r>
              <m:rPr>
                <m:nor/>
                <m:sty m:val="p"/>
              </m:rPr>
              <w:rPr>
                <w:rFonts w:hint="default" w:ascii="DejaVu Math TeX Gyre" w:hAnsi="DejaVu Math TeX Gyre" w:cs="Times New Roman Regular"/>
                <w:b w:val="0"/>
                <w:i w:val="0"/>
                <w:color w:val="0000FF"/>
                <w:sz w:val="21"/>
              </w:rPr>
              <m:t>x</m:t>
            </m:r>
            <m:ctrlPr>
              <w:rPr>
                <w:rFonts w:hint="default" w:ascii="DejaVu Math TeX Gyre" w:hAnsi="DejaVu Math TeX Gyre" w:cs="Times New Roman Regular"/>
                <w:color w:val="0000FF"/>
                <w:sz w:val="21"/>
              </w:rPr>
            </m:ctrlPr>
          </m:e>
          <m:sub>
            <m:r>
              <m:rPr>
                <m:nor/>
                <m:sty m:val="p"/>
              </m:rPr>
              <w:rPr>
                <w:rFonts w:hint="default" w:ascii="DejaVu Math TeX Gyre" w:hAnsi="DejaVu Math TeX Gyre" w:cs="Times New Roman Regular"/>
                <w:b w:val="0"/>
                <w:i w:val="0"/>
                <w:color w:val="0000FF"/>
                <w:sz w:val="21"/>
              </w:rPr>
              <m:t>ij</m:t>
            </m:r>
            <m:ctrlPr>
              <w:rPr>
                <w:rFonts w:hint="default" w:ascii="DejaVu Math TeX Gyre" w:hAnsi="DejaVu Math TeX Gyre" w:cs="Times New Roman Regular"/>
                <w:color w:val="0000FF"/>
                <w:sz w:val="21"/>
              </w:rPr>
            </m:ctrlPr>
          </m:sub>
        </m:sSub>
      </m:oMath>
      <w:r>
        <w:rPr>
          <w:rFonts w:hint="default" w:ascii="Times New Roman Regular" w:hAnsi="Times New Roman Regular" w:cs="Times New Roman Regular"/>
          <w:color w:val="0000FF"/>
          <w:lang w:val="en-US" w:eastAsia="zh-CN"/>
        </w:rPr>
        <w:t>×CV. This process was repeated for N</w:t>
      </w:r>
      <w:r>
        <w:rPr>
          <w:rFonts w:hint="default" w:ascii="Times New Roman Regular" w:hAnsi="Times New Roman Regular" w:cs="Times New Roman Regular"/>
          <w:color w:val="0000FF"/>
          <w:vertAlign w:val="subscript"/>
          <w:lang w:val="en-US" w:eastAsia="zh-CN"/>
        </w:rPr>
        <w:t>mc</w:t>
      </w:r>
      <w:r>
        <w:rPr>
          <w:rFonts w:hint="default" w:ascii="Times New Roman Regular" w:hAnsi="Times New Roman Regular" w:cs="Times New Roman Regular"/>
          <w:color w:val="0000FF"/>
          <w:lang w:val="en-US" w:eastAsia="zh-CN"/>
        </w:rPr>
        <w:t xml:space="preserve"> =500 iterations. The output uncertainty due to input errors was then characterized by the standard deviation (σ</w:t>
      </w:r>
      <w:r>
        <w:rPr>
          <w:rFonts w:hint="default" w:ascii="Times New Roman Regular" w:hAnsi="Times New Roman Regular" w:cs="Times New Roman Regular"/>
          <w:color w:val="0000FF"/>
          <w:vertAlign w:val="subscript"/>
          <w:lang w:val="en-US" w:eastAsia="zh-CN"/>
        </w:rPr>
        <w:t>out</w:t>
      </w:r>
      <w:r>
        <w:rPr>
          <w:rFonts w:hint="default" w:ascii="Times New Roman Regular" w:hAnsi="Times New Roman Regular" w:cs="Times New Roman Regular"/>
          <w:color w:val="0000FF"/>
          <w:lang w:val="en-US" w:eastAsia="zh-CN"/>
        </w:rPr>
        <w:t>) and the 95% CI width of the ensemble predictions:</w:t>
      </w:r>
    </w:p>
    <w:p w14:paraId="21A81AE9">
      <w:pPr>
        <w:spacing w:line="300" w:lineRule="auto"/>
        <w:jc w:val="right"/>
        <w:rPr>
          <w:rFonts w:hint="default" w:hAnsi="DejaVu Math TeX Gyre"/>
          <w:i w:val="0"/>
          <w:color w:val="0000FF"/>
          <w:sz w:val="21"/>
          <w:lang w:val="en-US"/>
        </w:rPr>
      </w:pPr>
      <m:oMath>
        <m:sSub>
          <m:sSubPr>
            <m:ctrlPr>
              <w:rPr>
                <w:rFonts w:hint="default" w:ascii="DejaVu Math TeX Gyre" w:hAnsi="DejaVu Math TeX Gyre" w:cs="Times New Roman Regular"/>
                <w:b w:val="0"/>
                <w:bCs w:val="0"/>
                <w:i/>
                <w:iCs/>
                <w:color w:val="0000FF"/>
                <w:sz w:val="21"/>
              </w:rPr>
            </m:ctrlPr>
          </m:sSubPr>
          <m:e>
            <m:r>
              <m:rPr>
                <m:nor/>
              </m:rPr>
              <w:rPr>
                <w:rFonts w:hint="default" w:ascii="DejaVu Math TeX Gyre" w:hAnsi="DejaVu Math TeX Gyre" w:cs="Times New Roman Regular"/>
                <w:b w:val="0"/>
                <w:bCs w:val="0"/>
                <w:i/>
                <w:iCs/>
                <w:color w:val="0000FF"/>
                <w:sz w:val="21"/>
              </w:rPr>
              <m:t>σ</m:t>
            </m:r>
            <m:ctrlPr>
              <w:rPr>
                <w:rFonts w:ascii="DejaVu Math TeX Gyre" w:hAnsi="DejaVu Math TeX Gyre" w:cs="Times New Roman Regular"/>
                <w:b w:val="0"/>
                <w:bCs w:val="0"/>
                <w:i/>
                <w:iCs/>
                <w:color w:val="0000FF"/>
                <w:sz w:val="21"/>
              </w:rPr>
            </m:ctrlPr>
          </m:e>
          <m:sub>
            <m:r>
              <m:rPr>
                <m:nor/>
              </m:rPr>
              <w:rPr>
                <w:rFonts w:hint="default" w:ascii="DejaVu Math TeX Gyre" w:hAnsi="DejaVu Math TeX Gyre" w:cs="Times New Roman Regular"/>
                <w:b w:val="0"/>
                <w:bCs w:val="0"/>
                <w:i/>
                <w:iCs/>
                <w:color w:val="0000FF"/>
                <w:sz w:val="21"/>
              </w:rPr>
              <m:t>out</m:t>
            </m:r>
            <m:ctrlPr>
              <w:rPr>
                <w:rFonts w:ascii="DejaVu Math TeX Gyre" w:hAnsi="DejaVu Math TeX Gyre" w:cs="Times New Roman Regular"/>
                <w:b w:val="0"/>
                <w:bCs w:val="0"/>
                <w:i/>
                <w:iCs/>
                <w:color w:val="0000FF"/>
                <w:sz w:val="21"/>
              </w:rPr>
            </m:ctrlPr>
          </m:sub>
        </m:sSub>
        <m:r>
          <m:rPr>
            <m:nor/>
          </m:rPr>
          <w:rPr>
            <w:rFonts w:hint="default" w:ascii="DejaVu Math TeX Gyre" w:hAnsi="DejaVu Math TeX Gyre" w:cs="Times New Roman Regular"/>
            <w:b w:val="0"/>
            <w:bCs w:val="0"/>
            <w:i/>
            <w:iCs/>
            <w:color w:val="0000FF"/>
            <w:sz w:val="21"/>
          </w:rPr>
          <m:t>=std</m:t>
        </m:r>
        <m:d>
          <m:dPr>
            <m:ctrlPr>
              <w:rPr>
                <w:rFonts w:hint="default" w:ascii="DejaVu Math TeX Gyre" w:hAnsi="DejaVu Math TeX Gyre" w:cs="Times New Roman Regular"/>
                <w:b w:val="0"/>
                <w:bCs w:val="0"/>
                <w:i/>
                <w:iCs/>
                <w:color w:val="0000FF"/>
                <w:sz w:val="21"/>
              </w:rPr>
            </m:ctrlPr>
          </m:dPr>
          <m:e>
            <m:r>
              <m:rPr>
                <m:nor/>
              </m:rPr>
              <w:rPr>
                <w:rFonts w:hint="default" w:ascii="DejaVu Math TeX Gyre" w:hAnsi="DejaVu Math TeX Gyre" w:cs="Times New Roman Regular"/>
                <w:b w:val="0"/>
                <w:bCs w:val="0"/>
                <w:i/>
                <w:iCs/>
                <w:color w:val="0000FF"/>
                <w:sz w:val="21"/>
              </w:rPr>
              <m:t>{</m:t>
            </m:r>
            <m:sSup>
              <m:sSupPr>
                <m:ctrlPr>
                  <w:rPr>
                    <w:rFonts w:hint="default" w:ascii="DejaVu Math TeX Gyre" w:hAnsi="DejaVu Math TeX Gyre" w:cs="Times New Roman Regular"/>
                    <w:b w:val="0"/>
                    <w:bCs w:val="0"/>
                    <w:i/>
                    <w:iCs/>
                    <w:color w:val="0000FF"/>
                    <w:sz w:val="21"/>
                  </w:rPr>
                </m:ctrlPr>
              </m:sSupPr>
              <m:e>
                <m:acc>
                  <m:accPr>
                    <m:ctrlPr>
                      <w:rPr>
                        <w:rFonts w:hint="default" w:ascii="DejaVu Math TeX Gyre" w:hAnsi="DejaVu Math TeX Gyre" w:cs="Times New Roman Regular"/>
                        <w:b w:val="0"/>
                        <w:bCs w:val="0"/>
                        <w:i/>
                        <w:iCs/>
                        <w:color w:val="0000FF"/>
                        <w:sz w:val="21"/>
                      </w:rPr>
                    </m:ctrlPr>
                  </m:accPr>
                  <m:e>
                    <m:r>
                      <m:rPr>
                        <m:nor/>
                      </m:rPr>
                      <w:rPr>
                        <w:rFonts w:hint="default" w:ascii="DejaVu Math TeX Gyre" w:hAnsi="DejaVu Math TeX Gyre" w:cs="Times New Roman Regular"/>
                        <w:b w:val="0"/>
                        <w:bCs w:val="0"/>
                        <w:i/>
                        <w:iCs/>
                        <w:color w:val="0000FF"/>
                        <w:sz w:val="21"/>
                      </w:rPr>
                      <m:t>y</m:t>
                    </m:r>
                    <m:ctrlPr>
                      <w:rPr>
                        <w:rFonts w:ascii="DejaVu Math TeX Gyre" w:hAnsi="DejaVu Math TeX Gyre" w:cs="Times New Roman Regular"/>
                        <w:b w:val="0"/>
                        <w:bCs w:val="0"/>
                        <w:i/>
                        <w:iCs/>
                        <w:color w:val="0000FF"/>
                        <w:sz w:val="21"/>
                      </w:rPr>
                    </m:ctrlPr>
                  </m:e>
                </m:acc>
                <m:ctrlPr>
                  <w:rPr>
                    <w:rFonts w:hint="default" w:ascii="DejaVu Math TeX Gyre" w:hAnsi="DejaVu Math TeX Gyre" w:cs="Times New Roman Regular"/>
                    <w:b w:val="0"/>
                    <w:bCs w:val="0"/>
                    <w:i/>
                    <w:iCs/>
                    <w:color w:val="0000FF"/>
                    <w:sz w:val="21"/>
                  </w:rPr>
                </m:ctrlPr>
              </m:e>
              <m:sup>
                <m:r>
                  <m:rPr>
                    <m:nor/>
                  </m:rPr>
                  <w:rPr>
                    <w:rFonts w:hint="default" w:ascii="DejaVu Math TeX Gyre" w:hAnsi="DejaVu Math TeX Gyre" w:cs="Times New Roman Regular"/>
                    <w:b w:val="0"/>
                    <w:bCs w:val="0"/>
                    <w:i/>
                    <w:iCs/>
                    <w:color w:val="0000FF"/>
                    <w:sz w:val="21"/>
                  </w:rPr>
                  <m:t>(k)</m:t>
                </m:r>
                <m:ctrlPr>
                  <w:rPr>
                    <w:rFonts w:hint="default" w:ascii="DejaVu Math TeX Gyre" w:hAnsi="DejaVu Math TeX Gyre" w:cs="Times New Roman Regular"/>
                    <w:b w:val="0"/>
                    <w:bCs w:val="0"/>
                    <w:i/>
                    <w:iCs/>
                    <w:color w:val="0000FF"/>
                    <w:sz w:val="21"/>
                  </w:rPr>
                </m:ctrlPr>
              </m:sup>
            </m:sSup>
            <m:sSubSup>
              <m:sSubSupPr>
                <m:ctrlPr>
                  <w:rPr>
                    <w:rFonts w:hint="default" w:ascii="DejaVu Math TeX Gyre" w:hAnsi="DejaVu Math TeX Gyre" w:cs="Times New Roman Regular"/>
                    <w:b w:val="0"/>
                    <w:bCs w:val="0"/>
                    <w:i/>
                    <w:iCs/>
                    <w:color w:val="0000FF"/>
                    <w:sz w:val="21"/>
                  </w:rPr>
                </m:ctrlPr>
              </m:sSubSupPr>
              <m:e>
                <m:r>
                  <m:rPr>
                    <m:nor/>
                  </m:rPr>
                  <w:rPr>
                    <w:rFonts w:hint="default" w:ascii="DejaVu Math TeX Gyre" w:hAnsi="DejaVu Math TeX Gyre" w:cs="Times New Roman Regular"/>
                    <w:b w:val="0"/>
                    <w:bCs w:val="0"/>
                    <w:i/>
                    <w:iCs/>
                    <w:color w:val="0000FF"/>
                    <w:sz w:val="21"/>
                  </w:rPr>
                  <m:t>}</m:t>
                </m:r>
                <m:ctrlPr>
                  <w:rPr>
                    <w:rFonts w:hint="default" w:ascii="DejaVu Math TeX Gyre" w:hAnsi="DejaVu Math TeX Gyre" w:cs="Times New Roman Regular"/>
                    <w:b w:val="0"/>
                    <w:bCs w:val="0"/>
                    <w:i/>
                    <w:iCs/>
                    <w:color w:val="0000FF"/>
                    <w:sz w:val="21"/>
                  </w:rPr>
                </m:ctrlPr>
              </m:e>
              <m:sub>
                <m:r>
                  <m:rPr>
                    <m:nor/>
                  </m:rPr>
                  <w:rPr>
                    <w:rFonts w:hint="default" w:ascii="DejaVu Math TeX Gyre" w:hAnsi="DejaVu Math TeX Gyre" w:cs="Times New Roman Regular"/>
                    <w:b w:val="0"/>
                    <w:bCs w:val="0"/>
                    <w:i/>
                    <w:iCs/>
                    <w:color w:val="0000FF"/>
                    <w:sz w:val="21"/>
                  </w:rPr>
                  <m:t>k=1</m:t>
                </m:r>
                <m:ctrlPr>
                  <w:rPr>
                    <w:rFonts w:hint="default" w:ascii="DejaVu Math TeX Gyre" w:hAnsi="DejaVu Math TeX Gyre" w:cs="Times New Roman Regular"/>
                    <w:b w:val="0"/>
                    <w:bCs w:val="0"/>
                    <w:i/>
                    <w:iCs/>
                    <w:color w:val="0000FF"/>
                    <w:sz w:val="21"/>
                  </w:rPr>
                </m:ctrlPr>
              </m:sub>
              <m:sup>
                <m:sSub>
                  <m:sSubPr>
                    <m:ctrlPr>
                      <w:rPr>
                        <w:rFonts w:hint="default" w:ascii="DejaVu Math TeX Gyre" w:hAnsi="DejaVu Math TeX Gyre" w:cs="Times New Roman Regular"/>
                        <w:b w:val="0"/>
                        <w:bCs w:val="0"/>
                        <w:i/>
                        <w:iCs/>
                        <w:color w:val="0000FF"/>
                        <w:sz w:val="21"/>
                      </w:rPr>
                    </m:ctrlPr>
                  </m:sSubPr>
                  <m:e>
                    <m:r>
                      <m:rPr>
                        <m:nor/>
                      </m:rPr>
                      <w:rPr>
                        <w:rFonts w:hint="default" w:ascii="DejaVu Math TeX Gyre" w:hAnsi="DejaVu Math TeX Gyre" w:cs="Times New Roman Regular"/>
                        <w:b w:val="0"/>
                        <w:bCs w:val="0"/>
                        <w:i/>
                        <w:iCs/>
                        <w:color w:val="0000FF"/>
                        <w:sz w:val="21"/>
                      </w:rPr>
                      <m:t>N</m:t>
                    </m:r>
                    <m:ctrlPr>
                      <w:rPr>
                        <w:rFonts w:ascii="DejaVu Math TeX Gyre" w:hAnsi="DejaVu Math TeX Gyre" w:cs="Times New Roman Regular"/>
                        <w:b w:val="0"/>
                        <w:bCs w:val="0"/>
                        <w:i/>
                        <w:iCs/>
                        <w:color w:val="0000FF"/>
                        <w:sz w:val="21"/>
                      </w:rPr>
                    </m:ctrlPr>
                  </m:e>
                  <m:sub>
                    <m:r>
                      <m:rPr>
                        <m:nor/>
                      </m:rPr>
                      <w:rPr>
                        <w:rFonts w:hint="default" w:ascii="DejaVu Math TeX Gyre" w:hAnsi="DejaVu Math TeX Gyre" w:cs="Times New Roman Regular"/>
                        <w:b w:val="0"/>
                        <w:bCs w:val="0"/>
                        <w:i/>
                        <w:iCs/>
                        <w:color w:val="0000FF"/>
                        <w:sz w:val="21"/>
                      </w:rPr>
                      <m:t>mc</m:t>
                    </m:r>
                    <m:ctrlPr>
                      <w:rPr>
                        <w:rFonts w:ascii="DejaVu Math TeX Gyre" w:hAnsi="DejaVu Math TeX Gyre" w:cs="Times New Roman Regular"/>
                        <w:b w:val="0"/>
                        <w:bCs w:val="0"/>
                        <w:i/>
                        <w:iCs/>
                        <w:color w:val="0000FF"/>
                        <w:sz w:val="21"/>
                      </w:rPr>
                    </m:ctrlPr>
                  </m:sub>
                </m:sSub>
                <m:ctrlPr>
                  <w:rPr>
                    <w:rFonts w:hint="default" w:ascii="DejaVu Math TeX Gyre" w:hAnsi="DejaVu Math TeX Gyre" w:cs="Times New Roman Regular"/>
                    <w:b w:val="0"/>
                    <w:bCs w:val="0"/>
                    <w:i/>
                    <w:iCs/>
                    <w:color w:val="0000FF"/>
                    <w:sz w:val="21"/>
                  </w:rPr>
                </m:ctrlPr>
              </m:sup>
            </m:sSubSup>
            <m:ctrlPr>
              <w:rPr>
                <w:rFonts w:hint="default" w:ascii="DejaVu Math TeX Gyre" w:hAnsi="DejaVu Math TeX Gyre" w:cs="Times New Roman Regular"/>
                <w:b w:val="0"/>
                <w:bCs w:val="0"/>
                <w:i/>
                <w:iCs/>
                <w:color w:val="0000FF"/>
                <w:sz w:val="21"/>
              </w:rPr>
            </m:ctrlPr>
          </m:e>
        </m:d>
        <m:r>
          <m:rPr>
            <m:nor/>
          </m:rPr>
          <w:rPr>
            <w:rFonts w:hint="default" w:ascii="DejaVu Math TeX Gyre" w:hAnsi="DejaVu Math TeX Gyre" w:cs="Times New Roman Regular"/>
            <w:b w:val="0"/>
            <w:bCs w:val="0"/>
            <w:i/>
            <w:iCs/>
            <w:color w:val="0000FF"/>
            <w:sz w:val="21"/>
          </w:rPr>
          <m:t>, </m:t>
        </m:r>
        <m:sSub>
          <m:sSubPr>
            <m:ctrlPr>
              <w:rPr>
                <w:rFonts w:hint="default" w:ascii="DejaVu Math TeX Gyre" w:hAnsi="DejaVu Math TeX Gyre" w:cs="Times New Roman Regular"/>
                <w:b w:val="0"/>
                <w:bCs w:val="0"/>
                <w:i/>
                <w:iCs/>
                <w:color w:val="0000FF"/>
                <w:sz w:val="21"/>
              </w:rPr>
            </m:ctrlPr>
          </m:sSubPr>
          <m:e>
            <m:r>
              <m:rPr>
                <m:nor/>
              </m:rPr>
              <w:rPr>
                <w:rFonts w:hint="default" w:ascii="DejaVu Math TeX Gyre" w:hAnsi="DejaVu Math TeX Gyre" w:cs="Times New Roman Regular"/>
                <w:b w:val="0"/>
                <w:bCs w:val="0"/>
                <w:i/>
                <w:iCs/>
                <w:color w:val="0000FF"/>
                <w:sz w:val="21"/>
              </w:rPr>
              <m:t>CI</m:t>
            </m:r>
            <m:ctrlPr>
              <w:rPr>
                <w:rFonts w:hint="default" w:ascii="DejaVu Math TeX Gyre" w:hAnsi="DejaVu Math TeX Gyre" w:cs="Times New Roman Regular"/>
                <w:b w:val="0"/>
                <w:bCs w:val="0"/>
                <w:i/>
                <w:iCs/>
                <w:color w:val="0000FF"/>
                <w:sz w:val="21"/>
              </w:rPr>
            </m:ctrlPr>
          </m:e>
          <m:sub>
            <m:r>
              <m:rPr>
                <m:nor/>
              </m:rPr>
              <w:rPr>
                <w:rFonts w:hint="default" w:ascii="DejaVu Math TeX Gyre" w:hAnsi="DejaVu Math TeX Gyre" w:cs="Times New Roman Regular"/>
                <w:b w:val="0"/>
                <w:bCs w:val="0"/>
                <w:i/>
                <w:iCs/>
                <w:color w:val="0000FF"/>
                <w:sz w:val="21"/>
              </w:rPr>
              <m:t>95%</m:t>
            </m:r>
            <m:ctrlPr>
              <w:rPr>
                <w:rFonts w:hint="default" w:ascii="DejaVu Math TeX Gyre" w:hAnsi="DejaVu Math TeX Gyre" w:cs="Times New Roman Regular"/>
                <w:b w:val="0"/>
                <w:bCs w:val="0"/>
                <w:i/>
                <w:iCs/>
                <w:color w:val="0000FF"/>
                <w:sz w:val="21"/>
              </w:rPr>
            </m:ctrlPr>
          </m:sub>
        </m:sSub>
        <m:r>
          <m:rPr>
            <m:nor/>
          </m:rPr>
          <w:rPr>
            <w:rFonts w:hint="default" w:ascii="DejaVu Math TeX Gyre" w:hAnsi="DejaVu Math TeX Gyre" w:cs="Times New Roman Regular"/>
            <w:b w:val="0"/>
            <w:bCs w:val="0"/>
            <w:i/>
            <w:iCs/>
            <w:color w:val="0000FF"/>
            <w:sz w:val="21"/>
          </w:rPr>
          <m:t>=[</m:t>
        </m:r>
        <m:sSub>
          <m:sSubPr>
            <m:ctrlPr>
              <w:rPr>
                <w:rFonts w:hint="default" w:ascii="DejaVu Math TeX Gyre" w:hAnsi="DejaVu Math TeX Gyre" w:cs="Times New Roman Regular"/>
                <w:b w:val="0"/>
                <w:bCs w:val="0"/>
                <w:i/>
                <w:iCs/>
                <w:color w:val="0000FF"/>
                <w:sz w:val="21"/>
              </w:rPr>
            </m:ctrlPr>
          </m:sSubPr>
          <m:e>
            <m:r>
              <m:rPr>
                <m:nor/>
              </m:rPr>
              <w:rPr>
                <w:rFonts w:hint="default" w:ascii="DejaVu Math TeX Gyre" w:hAnsi="DejaVu Math TeX Gyre" w:cs="Times New Roman Regular"/>
                <w:b w:val="0"/>
                <w:bCs w:val="0"/>
                <w:i/>
                <w:iCs/>
                <w:color w:val="0000FF"/>
                <w:sz w:val="21"/>
              </w:rPr>
              <m:t>P</m:t>
            </m:r>
            <m:ctrlPr>
              <w:rPr>
                <w:rFonts w:hint="default" w:ascii="DejaVu Math TeX Gyre" w:hAnsi="DejaVu Math TeX Gyre" w:cs="Times New Roman Regular"/>
                <w:b w:val="0"/>
                <w:bCs w:val="0"/>
                <w:i/>
                <w:iCs/>
                <w:color w:val="0000FF"/>
                <w:sz w:val="21"/>
              </w:rPr>
            </m:ctrlPr>
          </m:e>
          <m:sub>
            <m:r>
              <m:rPr>
                <m:nor/>
              </m:rPr>
              <w:rPr>
                <w:rFonts w:hint="default" w:ascii="DejaVu Math TeX Gyre" w:hAnsi="DejaVu Math TeX Gyre" w:cs="Times New Roman Regular"/>
                <w:b w:val="0"/>
                <w:bCs w:val="0"/>
                <w:i/>
                <w:iCs/>
                <w:color w:val="0000FF"/>
                <w:sz w:val="21"/>
              </w:rPr>
              <m:t>2.5</m:t>
            </m:r>
            <m:ctrlPr>
              <w:rPr>
                <w:rFonts w:hint="default" w:ascii="DejaVu Math TeX Gyre" w:hAnsi="DejaVu Math TeX Gyre" w:cs="Times New Roman Regular"/>
                <w:b w:val="0"/>
                <w:bCs w:val="0"/>
                <w:i/>
                <w:iCs/>
                <w:color w:val="0000FF"/>
                <w:sz w:val="21"/>
              </w:rPr>
            </m:ctrlPr>
          </m:sub>
        </m:sSub>
        <m:r>
          <m:rPr>
            <m:nor/>
          </m:rPr>
          <w:rPr>
            <w:rFonts w:hint="default" w:ascii="DejaVu Math TeX Gyre" w:hAnsi="DejaVu Math TeX Gyre" w:cs="Times New Roman Regular"/>
            <w:b w:val="0"/>
            <w:bCs w:val="0"/>
            <w:i/>
            <w:iCs/>
            <w:color w:val="0000FF"/>
            <w:sz w:val="21"/>
          </w:rPr>
          <m:t>,</m:t>
        </m:r>
        <m:sSub>
          <m:sSubPr>
            <m:ctrlPr>
              <w:rPr>
                <w:rFonts w:hint="default" w:ascii="DejaVu Math TeX Gyre" w:hAnsi="DejaVu Math TeX Gyre" w:cs="Times New Roman Regular"/>
                <w:b w:val="0"/>
                <w:bCs w:val="0"/>
                <w:i/>
                <w:iCs/>
                <w:color w:val="0000FF"/>
                <w:sz w:val="21"/>
              </w:rPr>
            </m:ctrlPr>
          </m:sSubPr>
          <m:e>
            <m:r>
              <m:rPr>
                <m:nor/>
              </m:rPr>
              <w:rPr>
                <w:rFonts w:hint="default" w:ascii="DejaVu Math TeX Gyre" w:hAnsi="DejaVu Math TeX Gyre" w:cs="Times New Roman Regular"/>
                <w:b w:val="0"/>
                <w:bCs w:val="0"/>
                <w:i/>
                <w:iCs/>
                <w:color w:val="0000FF"/>
                <w:sz w:val="21"/>
              </w:rPr>
              <m:t>P</m:t>
            </m:r>
            <m:ctrlPr>
              <w:rPr>
                <w:rFonts w:hint="default" w:ascii="DejaVu Math TeX Gyre" w:hAnsi="DejaVu Math TeX Gyre" w:cs="Times New Roman Regular"/>
                <w:b w:val="0"/>
                <w:bCs w:val="0"/>
                <w:i/>
                <w:iCs/>
                <w:color w:val="0000FF"/>
                <w:sz w:val="21"/>
              </w:rPr>
            </m:ctrlPr>
          </m:e>
          <m:sub>
            <m:r>
              <m:rPr>
                <m:nor/>
              </m:rPr>
              <w:rPr>
                <w:rFonts w:hint="default" w:ascii="DejaVu Math TeX Gyre" w:hAnsi="DejaVu Math TeX Gyre" w:cs="Times New Roman Regular"/>
                <w:b w:val="0"/>
                <w:bCs w:val="0"/>
                <w:i/>
                <w:iCs/>
                <w:color w:val="0000FF"/>
                <w:sz w:val="21"/>
              </w:rPr>
              <m:t>97.5</m:t>
            </m:r>
            <m:ctrlPr>
              <w:rPr>
                <w:rFonts w:hint="default" w:ascii="DejaVu Math TeX Gyre" w:hAnsi="DejaVu Math TeX Gyre" w:cs="Times New Roman Regular"/>
                <w:b w:val="0"/>
                <w:bCs w:val="0"/>
                <w:i/>
                <w:iCs/>
                <w:color w:val="0000FF"/>
                <w:sz w:val="21"/>
              </w:rPr>
            </m:ctrlPr>
          </m:sub>
        </m:sSub>
        <m:r>
          <m:rPr>
            <m:nor/>
          </m:rPr>
          <w:rPr>
            <w:rFonts w:hint="default" w:ascii="DejaVu Math TeX Gyre" w:hAnsi="DejaVu Math TeX Gyre" w:cs="Times New Roman Regular"/>
            <w:b w:val="0"/>
            <w:bCs w:val="0"/>
            <w:i/>
            <w:iCs/>
            <w:color w:val="0000FF"/>
            <w:sz w:val="21"/>
          </w:rPr>
          <m:t>]</m:t>
        </m:r>
      </m:oMath>
      <w:r>
        <w:rPr>
          <w:rFonts w:hint="default" w:hAnsi="DejaVu Math TeX Gyre" w:cs="Times New Roman Regular"/>
          <w:b w:val="0"/>
          <w:bCs w:val="0"/>
          <w:i/>
          <w:iCs/>
          <w:color w:val="0000FF"/>
          <w:sz w:val="21"/>
          <w:lang w:val="en-US"/>
        </w:rPr>
        <w:t xml:space="preserve"> </w:t>
      </w:r>
      <w:r>
        <w:rPr>
          <w:rFonts w:hint="default" w:hAnsi="DejaVu Math TeX Gyre" w:cs="Times New Roman Regular"/>
          <w:i w:val="0"/>
          <w:color w:val="0000FF"/>
          <w:sz w:val="21"/>
          <w:lang w:val="en-US"/>
        </w:rPr>
        <w:t xml:space="preserve">               </w:t>
      </w:r>
      <w:r>
        <w:rPr>
          <w:rFonts w:hint="default" w:ascii="Times New Roman Regular" w:hAnsi="Times New Roman Regular" w:cs="Times New Roman Regular"/>
          <w:i w:val="0"/>
          <w:color w:val="0000FF"/>
          <w:sz w:val="21"/>
          <w:lang w:val="en-US"/>
        </w:rPr>
        <w:t>(26)</w:t>
      </w:r>
    </w:p>
    <w:p w14:paraId="47430646">
      <w:pPr>
        <w:spacing w:line="300" w:lineRule="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i w:val="0"/>
          <w:color w:val="0000FF"/>
          <w:sz w:val="21"/>
          <w:lang w:val="en-US" w:eastAsia="zh-CN"/>
        </w:rPr>
        <w:t xml:space="preserve">where </w:t>
      </w:r>
      <m:oMath>
        <m:sSup>
          <m:sSupPr>
            <m:ctrlPr>
              <w:rPr>
                <w:rFonts w:hint="default" w:ascii="DejaVu Math TeX Gyre" w:hAnsi="DejaVu Math TeX Gyre" w:cs="Times New Roman Regular"/>
                <w:color w:val="0000FF"/>
                <w:sz w:val="21"/>
              </w:rPr>
            </m:ctrlPr>
          </m:sSupPr>
          <m:e>
            <m:acc>
              <m:accPr>
                <m:ctrlPr>
                  <w:rPr>
                    <w:rFonts w:hint="default" w:ascii="DejaVu Math TeX Gyre" w:hAnsi="DejaVu Math TeX Gyre" w:cs="Times New Roman Regular"/>
                    <w:color w:val="0000FF"/>
                    <w:sz w:val="21"/>
                  </w:rPr>
                </m:ctrlPr>
              </m:accPr>
              <m:e>
                <m:r>
                  <m:rPr>
                    <m:nor/>
                    <m:sty m:val="p"/>
                  </m:rPr>
                  <w:rPr>
                    <w:rFonts w:hint="default" w:ascii="DejaVu Math TeX Gyre" w:hAnsi="DejaVu Math TeX Gyre" w:cs="Times New Roman Regular"/>
                    <w:b w:val="0"/>
                    <w:i w:val="0"/>
                    <w:color w:val="0000FF"/>
                    <w:sz w:val="21"/>
                  </w:rPr>
                  <m:t>y</m:t>
                </m:r>
                <m:ctrlPr>
                  <w:rPr>
                    <w:rFonts w:ascii="DejaVu Math TeX Gyre" w:hAnsi="DejaVu Math TeX Gyre" w:cs="Times New Roman Regular"/>
                    <w:color w:val="0000FF"/>
                    <w:sz w:val="21"/>
                  </w:rPr>
                </m:ctrlPr>
              </m:e>
            </m:acc>
            <m:ctrlPr>
              <w:rPr>
                <w:rFonts w:hint="default" w:ascii="DejaVu Math TeX Gyre" w:hAnsi="DejaVu Math TeX Gyre" w:cs="Times New Roman Regular"/>
                <w:color w:val="0000FF"/>
                <w:sz w:val="21"/>
              </w:rPr>
            </m:ctrlPr>
          </m:e>
          <m:sup>
            <m:r>
              <m:rPr>
                <m:nor/>
                <m:sty m:val="p"/>
              </m:rPr>
              <w:rPr>
                <w:rFonts w:hint="default" w:ascii="DejaVu Math TeX Gyre" w:hAnsi="DejaVu Math TeX Gyre" w:cs="Times New Roman Regular"/>
                <w:b w:val="0"/>
                <w:i w:val="0"/>
                <w:color w:val="0000FF"/>
                <w:sz w:val="21"/>
              </w:rPr>
              <m:t>(k)</m:t>
            </m:r>
            <m:ctrlPr>
              <w:rPr>
                <w:rFonts w:hint="default" w:ascii="DejaVu Math TeX Gyre" w:hAnsi="DejaVu Math TeX Gyre" w:cs="Times New Roman Regular"/>
                <w:color w:val="0000FF"/>
                <w:sz w:val="21"/>
              </w:rPr>
            </m:ctrlPr>
          </m:sup>
        </m:sSup>
      </m:oMath>
      <w:r>
        <w:rPr>
          <w:rFonts w:hint="default" w:ascii="Times New Roman Regular" w:hAnsi="Times New Roman Regular" w:cs="Times New Roman Regular"/>
          <w:i w:val="0"/>
          <w:color w:val="0000FF"/>
          <w:sz w:val="21"/>
          <w:lang w:val="en-US" w:eastAsia="zh-CN"/>
        </w:rPr>
        <w:t xml:space="preserve"> is the prediction from the k-th Monte Carlo simulation, and P</w:t>
      </w:r>
      <w:r>
        <w:rPr>
          <w:rFonts w:hint="default" w:ascii="Times New Roman Regular" w:hAnsi="Times New Roman Regular" w:cs="Times New Roman Regular"/>
          <w:i w:val="0"/>
          <w:color w:val="0000FF"/>
          <w:sz w:val="21"/>
          <w:vertAlign w:val="subscript"/>
          <w:lang w:val="en-US" w:eastAsia="zh-CN"/>
        </w:rPr>
        <w:t>2.</w:t>
      </w:r>
      <w:r>
        <w:rPr>
          <w:rFonts w:hint="eastAsia" w:ascii="Times New Roman Regular" w:hAnsi="Times New Roman Regular" w:cs="Times New Roman Regular"/>
          <w:i w:val="0"/>
          <w:color w:val="0000FF"/>
          <w:sz w:val="21"/>
          <w:vertAlign w:val="subscript"/>
          <w:lang w:val="en-US" w:eastAsia="zh-CN"/>
        </w:rPr>
        <w:t>5</w:t>
      </w:r>
      <w:r>
        <w:rPr>
          <w:rFonts w:hint="default" w:ascii="Times New Roman Regular" w:hAnsi="Times New Roman Regular" w:cs="Times New Roman Regular"/>
          <w:i w:val="0"/>
          <w:color w:val="0000FF"/>
          <w:sz w:val="21"/>
          <w:lang w:val="en-US" w:eastAsia="zh-CN"/>
        </w:rPr>
        <w:t xml:space="preserve"> ,P</w:t>
      </w:r>
      <w:r>
        <w:rPr>
          <w:rFonts w:hint="default" w:ascii="Times New Roman Regular" w:hAnsi="Times New Roman Regular" w:cs="Times New Roman Regular"/>
          <w:i w:val="0"/>
          <w:color w:val="0000FF"/>
          <w:sz w:val="21"/>
          <w:vertAlign w:val="subscript"/>
          <w:lang w:val="en-US" w:eastAsia="zh-CN"/>
        </w:rPr>
        <w:t>97.5</w:t>
      </w:r>
      <w:r>
        <w:rPr>
          <w:rFonts w:hint="default" w:ascii="Times New Roman Regular" w:hAnsi="Times New Roman Regular" w:cs="Times New Roman Regular"/>
          <w:i w:val="0"/>
          <w:color w:val="0000FF"/>
          <w:sz w:val="21"/>
          <w:lang w:val="en-US" w:eastAsia="zh-CN"/>
        </w:rPr>
        <w:t xml:space="preserve"> are the 2.5th and 97.5th percentiles of the prediction distribution.</w:t>
      </w:r>
    </w:p>
    <w:p w14:paraId="150C52C8">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p>
    <w:p w14:paraId="3A409728">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p>
    <w:p w14:paraId="5CD34748">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Model validation appears limited. The manuscript does not report Confidence intervals. Statistical significance testing. Sensitivity analysis. Uncertainty quantification.</w:t>
      </w:r>
    </w:p>
    <w:p w14:paraId="5AB432C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Without uncertainty analysis, the robustness of conclusions is questionable.</w:t>
      </w:r>
    </w:p>
    <w:p w14:paraId="33CA0E6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I suggest author will include Bootstrap or cross-validation uncertainty. Sensitivity analysis of key parameters. Error propagation discussion.</w:t>
      </w:r>
    </w:p>
    <w:p w14:paraId="629B7DE0">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Several figures suffer from:</w:t>
      </w:r>
      <w:r>
        <w:rPr>
          <w:rFonts w:hint="eastAsia" w:ascii="Times New Roman Regular" w:hAnsi="Times New Roman Regular" w:cs="Times New Roman Regular" w:eastAsiaTheme="minorEastAsia"/>
          <w:lang w:val="en-US" w:eastAsia="zh-CN"/>
        </w:rPr>
        <w:t xml:space="preserve"> </w:t>
      </w:r>
      <w:r>
        <w:rPr>
          <w:rFonts w:hint="default" w:ascii="Times New Roman Regular" w:hAnsi="Times New Roman Regular" w:cs="Times New Roman Regular" w:eastAsiaTheme="minorEastAsia"/>
          <w:lang w:val="en-US" w:eastAsia="zh-CN"/>
        </w:rPr>
        <w:t>Small axis labels.</w:t>
      </w:r>
      <w:r>
        <w:rPr>
          <w:rFonts w:hint="eastAsia" w:ascii="Times New Roman Regular" w:hAnsi="Times New Roman Regular" w:cs="Times New Roman Regular" w:eastAsiaTheme="minorEastAsia"/>
          <w:lang w:val="en-US" w:eastAsia="zh-CN"/>
        </w:rPr>
        <w:t xml:space="preserve"> </w:t>
      </w:r>
      <w:r>
        <w:rPr>
          <w:rFonts w:hint="default" w:ascii="Times New Roman Regular" w:hAnsi="Times New Roman Regular" w:cs="Times New Roman Regular" w:eastAsiaTheme="minorEastAsia"/>
          <w:lang w:val="en-US" w:eastAsia="zh-CN"/>
        </w:rPr>
        <w:t>Low resolution.</w:t>
      </w:r>
      <w:r>
        <w:rPr>
          <w:rFonts w:hint="eastAsia" w:ascii="Times New Roman Regular" w:hAnsi="Times New Roman Regular" w:cs="Times New Roman Regular" w:eastAsiaTheme="minorEastAsia"/>
          <w:lang w:val="en-US" w:eastAsia="zh-CN"/>
        </w:rPr>
        <w:t xml:space="preserve"> </w:t>
      </w:r>
      <w:r>
        <w:rPr>
          <w:rFonts w:hint="default" w:ascii="Times New Roman Regular" w:hAnsi="Times New Roman Regular" w:cs="Times New Roman Regular" w:eastAsiaTheme="minorEastAsia"/>
          <w:lang w:val="en-US" w:eastAsia="zh-CN"/>
        </w:rPr>
        <w:t>Lack of units.</w:t>
      </w:r>
      <w:r>
        <w:rPr>
          <w:rFonts w:hint="eastAsia" w:ascii="Times New Roman Regular" w:hAnsi="Times New Roman Regular" w:cs="Times New Roman Regular" w:eastAsiaTheme="minorEastAsia"/>
          <w:lang w:val="en-US" w:eastAsia="zh-CN"/>
        </w:rPr>
        <w:t xml:space="preserve"> </w:t>
      </w:r>
      <w:r>
        <w:rPr>
          <w:rFonts w:hint="default" w:ascii="Times New Roman Regular" w:hAnsi="Times New Roman Regular" w:cs="Times New Roman Regular" w:eastAsiaTheme="minorEastAsia"/>
          <w:lang w:val="en-US" w:eastAsia="zh-CN"/>
        </w:rPr>
        <w:t>No uncertainty shading.</w:t>
      </w:r>
    </w:p>
    <w:p w14:paraId="68BD0E61">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Figures must be self-explanatory. Captions should fully describe the content without requiring readers to consult the main text.</w:t>
      </w:r>
    </w:p>
    <w:p w14:paraId="0D010647">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p>
    <w:p w14:paraId="58473E5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sincerely thank the reviewer for this critical comment regarding uncertainty analysis. We fully agree that robustness assessment is essential for validating our modeling framework. We have comprehensively addressed this concern through the following revisions:</w:t>
      </w:r>
    </w:p>
    <w:p w14:paraId="5F4A6C2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have implemented Bootstrap resampling (1000 iterations) to quantify the uncertainty of all performance metrics reported in the study. Specifically:</w:t>
      </w:r>
    </w:p>
    <w:p w14:paraId="332E9F87">
      <w:pPr>
        <w:keepNext w:val="0"/>
        <w:keepLines w:val="0"/>
        <w:pageBreakBefore w:val="0"/>
        <w:widowControl w:val="0"/>
        <w:numPr>
          <w:ilvl w:val="0"/>
          <w:numId w:val="3"/>
        </w:numPr>
        <w:kinsoku/>
        <w:wordWrap/>
        <w:overflowPunct/>
        <w:topLinePunct w:val="0"/>
        <w:autoSpaceDE/>
        <w:autoSpaceDN/>
        <w:bidi w:val="0"/>
        <w:adjustRightInd/>
        <w:snapToGrid/>
        <w:spacing w:line="300" w:lineRule="auto"/>
        <w:ind w:left="420" w:leftChars="0" w:hanging="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calculated 95% confidence intervals (CI) for R² for all model configurations (classical RF vs. quantum-enhanced RF) across all hydrological seasons and input types</w:t>
      </w:r>
      <w:r>
        <w:rPr>
          <w:rFonts w:hint="default" w:ascii="Times New Roman Regular" w:hAnsi="Times New Roman Regular" w:cs="Times New Roman Regular"/>
          <w:color w:val="0000FF"/>
          <w:lang w:val="en-US" w:eastAsia="zh-CN"/>
        </w:rPr>
        <w:t>.</w:t>
      </w:r>
    </w:p>
    <w:p w14:paraId="50E91978">
      <w:pPr>
        <w:keepNext w:val="0"/>
        <w:keepLines w:val="0"/>
        <w:pageBreakBefore w:val="0"/>
        <w:widowControl w:val="0"/>
        <w:numPr>
          <w:ilvl w:val="0"/>
          <w:numId w:val="3"/>
        </w:numPr>
        <w:kinsoku/>
        <w:wordWrap/>
        <w:overflowPunct/>
        <w:topLinePunct w:val="0"/>
        <w:autoSpaceDE/>
        <w:autoSpaceDN/>
        <w:bidi w:val="0"/>
        <w:adjustRightInd/>
        <w:snapToGrid/>
        <w:spacing w:line="300" w:lineRule="auto"/>
        <w:ind w:left="420" w:leftChars="0" w:hanging="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The Bootstrap CIs are now reported in all supplementary performance tables (Table S1-S6)</w:t>
      </w:r>
      <w:r>
        <w:rPr>
          <w:rFonts w:hint="default" w:ascii="Times New Roman Regular" w:hAnsi="Times New Roman Regular" w:cs="Times New Roman Regular"/>
          <w:color w:val="0000FF"/>
          <w:lang w:val="en-US" w:eastAsia="zh-CN"/>
        </w:rPr>
        <w:t>.</w:t>
      </w:r>
    </w:p>
    <w:p w14:paraId="467A6D6C">
      <w:pPr>
        <w:keepNext w:val="0"/>
        <w:keepLines w:val="0"/>
        <w:pageBreakBefore w:val="0"/>
        <w:widowControl w:val="0"/>
        <w:numPr>
          <w:ilvl w:val="0"/>
          <w:numId w:val="3"/>
        </w:numPr>
        <w:kinsoku/>
        <w:wordWrap/>
        <w:overflowPunct/>
        <w:topLinePunct w:val="0"/>
        <w:autoSpaceDE/>
        <w:autoSpaceDN/>
        <w:bidi w:val="0"/>
        <w:adjustRightInd/>
        <w:snapToGrid/>
        <w:spacing w:line="300" w:lineRule="auto"/>
        <w:ind w:left="420" w:leftChars="0" w:hanging="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note that LOOCV alone cannot provide direct confidence intervals due to its single-sample validation nature; the Bootstrap approach effectively addresses this limitation by resampling prediction residuals</w:t>
      </w:r>
      <w:r>
        <w:rPr>
          <w:rFonts w:hint="default" w:ascii="Times New Roman Regular" w:hAnsi="Times New Roman Regular" w:cs="Times New Roman Regular"/>
          <w:color w:val="0000FF"/>
          <w:lang w:val="en-US" w:eastAsia="zh-CN"/>
        </w:rPr>
        <w:t>.</w:t>
      </w:r>
    </w:p>
    <w:p w14:paraId="027F4E9B">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The revised manuscript (Section 2.6.2) now explicitly describes this dual-evaluation methodology. In the Results section (Sections 3.4.2 and 3.4.3), we discuss these confidence intervals to demonstrate model stability.</w:t>
      </w:r>
      <w:r>
        <w:rPr>
          <w:rFonts w:hint="default" w:ascii="Times New Roman Regular" w:hAnsi="Times New Roman Regular" w:cs="Times New Roman Regular"/>
          <w:color w:val="0000FF"/>
          <w:lang w:val="en-US" w:eastAsia="zh-CN"/>
        </w:rPr>
        <w:t xml:space="preserve"> The narrowing of CI widths with increasing virtual sample sizes (e.g., Normal season RF R</w:t>
      </w:r>
      <w:r>
        <w:rPr>
          <w:rFonts w:hint="default" w:ascii="Times New Roman Regular" w:hAnsi="Times New Roman Regular" w:cs="Times New Roman Regular"/>
          <w:color w:val="0000FF"/>
          <w:vertAlign w:val="superscript"/>
          <w:lang w:val="en-US" w:eastAsia="zh-CN"/>
        </w:rPr>
        <w:t>2</w:t>
      </w:r>
      <w:r>
        <w:rPr>
          <w:rFonts w:hint="default" w:ascii="Times New Roman Regular" w:hAnsi="Times New Roman Regular" w:cs="Times New Roman Regular"/>
          <w:color w:val="0000FF"/>
          <w:lang w:val="en-US" w:eastAsia="zh-CN"/>
        </w:rPr>
        <w:t xml:space="preserve"> CI width reduced from 0.1972 at original to 0.0106 at 10-fold augmentation) demonstrates that our augmentation strategy effectively reduces estimation variance.</w:t>
      </w:r>
    </w:p>
    <w:p w14:paraId="10CE0FDB">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p>
    <w:p w14:paraId="3447CA3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agree that a comprehensive sensitivity analysis is crucial for understanding the driving mechanisms of the model and validating the physical interpretability of the input parameters.</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eastAsiaTheme="minorEastAsia"/>
          <w:color w:val="0000FF"/>
          <w:lang w:val="en-US" w:eastAsia="zh-CN"/>
        </w:rPr>
        <w:t>In response, we have added a new subsection Section 3.</w:t>
      </w:r>
      <w:r>
        <w:rPr>
          <w:rFonts w:hint="default" w:ascii="Times New Roman Regular" w:hAnsi="Times New Roman Regular" w:cs="Times New Roman Regular"/>
          <w:color w:val="0000FF"/>
          <w:lang w:val="en-US" w:eastAsia="zh-CN"/>
        </w:rPr>
        <w:t>6</w:t>
      </w:r>
      <w:r>
        <w:rPr>
          <w:rFonts w:hint="default" w:ascii="Times New Roman Regular" w:hAnsi="Times New Roman Regular" w:cs="Times New Roman Regular" w:eastAsiaTheme="minorEastAsia"/>
          <w:color w:val="0000FF"/>
          <w:lang w:val="en-US" w:eastAsia="zh-CN"/>
        </w:rPr>
        <w:t xml:space="preserv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eastAsiaTheme="minorEastAsia"/>
          <w:color w:val="0000FF"/>
          <w:lang w:val="en-US" w:eastAsia="zh-CN"/>
        </w:rPr>
        <w:t>Sensitivity analysis of key parameters</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eastAsiaTheme="minorEastAsia"/>
          <w:color w:val="0000FF"/>
          <w:lang w:val="en-US" w:eastAsia="zh-CN"/>
        </w:rPr>
        <w:t xml:space="preserve"> in the revised manuscript. In this section, we employed Sobol global sensitivity indices, feature perturbation sensitivity, and elasticity coefficients to quantify the influence of hydrochemical parameters (pH, T, EC, DO, ORP, Salt, TDS) on nitrate predictions across different hydrological seasons (normal, dry, and wet).</w:t>
      </w:r>
    </w:p>
    <w:p w14:paraId="367321D0">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The key findings added to the manuscript include:</w:t>
      </w:r>
    </w:p>
    <w:p w14:paraId="357B69EF">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TDS and EC were identified as the most sensitive parameters across all seasons (Total-order Sobol indices &gt; 0.25), confirming their role as robust proxies for nitrate transport processes</w:t>
      </w:r>
      <w:r>
        <w:rPr>
          <w:rFonts w:hint="default" w:ascii="Times New Roman Regular" w:hAnsi="Times New Roman Regular" w:cs="Times New Roman Regular"/>
          <w:color w:val="0000FF"/>
          <w:lang w:val="en-US" w:eastAsia="zh-CN"/>
        </w:rPr>
        <w:t>, corroborating their central role identified in the Bayesian and correlation analyses</w:t>
      </w:r>
      <w:r>
        <w:rPr>
          <w:rFonts w:hint="default" w:ascii="Times New Roman Regular" w:hAnsi="Times New Roman Regular" w:cs="Times New Roman Regular" w:eastAsiaTheme="minorEastAsia"/>
          <w:color w:val="0000FF"/>
          <w:lang w:val="en-US" w:eastAsia="zh-CN"/>
        </w:rPr>
        <w:t>.</w:t>
      </w:r>
    </w:p>
    <w:p w14:paraId="4D18C3F0">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observed distinct seasonal variations in sensitivity. Specifically, pH sensitivity increased significantly during the dry season, reflecting evaporative concentration effects. ORP sensitivity was higher during the wet season, likely due to rainfall-induced redox fluctuations.</w:t>
      </w:r>
    </w:p>
    <w:p w14:paraId="43D0221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The analysis demonstrated that increasing virtual sample augmentation (from 1</w:t>
      </w:r>
      <w:r>
        <w:rPr>
          <w:rFonts w:hint="default" w:ascii="Times New Roman Regular" w:hAnsi="Times New Roman Regular" w:cs="Times New Roman Regular"/>
          <w:color w:val="0000FF"/>
          <w:lang w:val="en-US" w:eastAsia="zh-CN"/>
        </w:rPr>
        <w:t>x</w:t>
      </w:r>
      <w:r>
        <w:rPr>
          <w:rFonts w:hint="default" w:ascii="Times New Roman Regular" w:hAnsi="Times New Roman Regular" w:cs="Times New Roman Regular" w:eastAsiaTheme="minorEastAsia"/>
          <w:color w:val="0000FF"/>
          <w:lang w:val="en-US" w:eastAsia="zh-CN"/>
        </w:rPr>
        <w:t xml:space="preserve"> to 10</w:t>
      </w:r>
      <w:r>
        <w:rPr>
          <w:rFonts w:hint="default" w:ascii="Times New Roman Regular" w:hAnsi="Times New Roman Regular" w:cs="Times New Roman Regular"/>
          <w:color w:val="0000FF"/>
          <w:lang w:val="en-US" w:eastAsia="zh-CN"/>
        </w:rPr>
        <w:t>x</w:t>
      </w:r>
      <w:r>
        <w:rPr>
          <w:rFonts w:hint="default" w:ascii="Times New Roman Regular" w:hAnsi="Times New Roman Regular" w:cs="Times New Roman Regular" w:eastAsiaTheme="minorEastAsia"/>
          <w:color w:val="0000FF"/>
          <w:lang w:val="en-US" w:eastAsia="zh-CN"/>
        </w:rPr>
        <w:t>) stabilized the sensitivity indices, reducing variance caused by small-sample bias (e.g., Dry season pH Sobol index variance decreased with augmentation).</w:t>
      </w:r>
    </w:p>
    <w:p w14:paraId="1D9F3ED2">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eastAsiaTheme="minorEastAsia"/>
          <w:lang w:val="en-US" w:eastAsia="zh-CN"/>
        </w:rPr>
      </w:pPr>
    </w:p>
    <w:p w14:paraId="04839A7C">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agree that a systematic discussion of error propagation is essential for evaluating model robustness and uncertainty quantification in environmental prediction tasks.</w:t>
      </w:r>
    </w:p>
    <w:p w14:paraId="7316119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 xml:space="preserve">Accordingly, we have incorporated a comprehensive error propagation </w:t>
      </w:r>
      <w:r>
        <w:rPr>
          <w:rFonts w:hint="default" w:ascii="Times New Roman Regular" w:hAnsi="Times New Roman Regular" w:cs="Times New Roman Regular"/>
          <w:color w:val="0000FF"/>
          <w:lang w:val="en-US" w:eastAsia="zh-CN"/>
        </w:rPr>
        <w:t xml:space="preserve">discussion </w:t>
      </w:r>
      <w:r>
        <w:rPr>
          <w:rFonts w:hint="default" w:ascii="Times New Roman Regular" w:hAnsi="Times New Roman Regular" w:cs="Times New Roman Regular" w:eastAsiaTheme="minorEastAsia"/>
          <w:color w:val="0000FF"/>
          <w:lang w:val="en-US" w:eastAsia="zh-CN"/>
        </w:rPr>
        <w:t xml:space="preserve">in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eastAsiaTheme="minorEastAsia"/>
          <w:color w:val="0000FF"/>
          <w:lang w:val="en-US" w:eastAsia="zh-CN"/>
        </w:rPr>
        <w:t>Section 4.</w:t>
      </w:r>
      <w:r>
        <w:rPr>
          <w:rFonts w:hint="default" w:ascii="Times New Roman Regular" w:hAnsi="Times New Roman Regular" w:cs="Times New Roman Regular"/>
          <w:color w:val="0000FF"/>
          <w:lang w:val="en-US" w:eastAsia="zh-CN"/>
        </w:rPr>
        <w:t xml:space="preserve">3 </w:t>
      </w:r>
      <w:r>
        <w:rPr>
          <w:rFonts w:hint="default" w:ascii="Times New Roman Regular" w:hAnsi="Times New Roman Regular" w:cs="Times New Roman Regular" w:eastAsiaTheme="minorEastAsia"/>
          <w:color w:val="0000FF"/>
          <w:lang w:val="en-US" w:eastAsia="zh-CN"/>
        </w:rPr>
        <w:t>Error propagation under virtual sample</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eastAsiaTheme="minorEastAsia"/>
          <w:color w:val="0000FF"/>
          <w:lang w:val="en-US" w:eastAsia="zh-CN"/>
        </w:rPr>
        <w:t xml:space="preserve"> of the revised manuscript. Specifically, we performed Monte Carlo simulations (N=500 iterations) assuming a 5% coefficient of variation for input parameters to quantify how measurement errors propagate through both classical Random Forest and hybrid Quantum-Classical Random Forest models under varying degrees of virtual sample augmentation.</w:t>
      </w:r>
    </w:p>
    <w:p w14:paraId="53C1D8AB">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p>
    <w:p w14:paraId="62C24BB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have carefully revised all figures throughout the manuscript to address these concerns. Our specific actions are as follows:</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eastAsiaTheme="minorEastAsia"/>
          <w:color w:val="0000FF"/>
          <w:lang w:val="en-US" w:eastAsia="zh-CN"/>
        </w:rPr>
        <w:t>We have significantly enlarged the font size of all axis labels, tick marks, and legends to ensure readability. Additionally, all figures have been exported and embedded at a higher resolution (300 dpi) to meet publication standards.</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eastAsiaTheme="minorEastAsia"/>
          <w:color w:val="0000FF"/>
          <w:lang w:val="en-US" w:eastAsia="zh-CN"/>
        </w:rPr>
        <w:t>We have meticulously reviewed all figures and ensured that appropriate physical units are now clearly indicated on all axes and in the figure captions where applicable.</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eastAsiaTheme="minorEastAsia"/>
          <w:color w:val="0000FF"/>
          <w:lang w:val="en-US" w:eastAsia="zh-CN"/>
        </w:rPr>
        <w:t>To maintain clarity and avoid visual clutter in complex multi-seasonal comparison plots, we have reported these precise Bootstrap 95% CIs alongside the performance metrics in Tables S1</w:t>
      </w:r>
      <w:r>
        <w:rPr>
          <w:rFonts w:hint="eastAsia" w:ascii="Times New Roman Regular" w:hAnsi="Times New Roman Regular" w:cs="Times New Roman Regular"/>
          <w:color w:val="0000FF"/>
          <w:lang w:val="en-US" w:eastAsia="zh-CN"/>
        </w:rPr>
        <w:t>-</w:t>
      </w:r>
      <w:r>
        <w:rPr>
          <w:rFonts w:hint="default" w:ascii="Times New Roman Regular" w:hAnsi="Times New Roman Regular" w:cs="Times New Roman Regular" w:eastAsiaTheme="minorEastAsia"/>
          <w:color w:val="0000FF"/>
          <w:lang w:val="en-US" w:eastAsia="zh-CN"/>
        </w:rPr>
        <w:t>S6 (Supplementary Material). This allows readers to access exact quantitative bounds of uncertainty for each model and season.</w:t>
      </w:r>
      <w:r>
        <w:rPr>
          <w:rFonts w:hint="eastAsia" w:ascii="Times New Roman Regular" w:hAnsi="Times New Roman Regular" w:cs="Times New Roman Regular"/>
          <w:color w:val="0000FF"/>
          <w:lang w:val="en-US" w:eastAsia="zh-CN"/>
        </w:rPr>
        <w:t xml:space="preserve"> W</w:t>
      </w:r>
      <w:r>
        <w:rPr>
          <w:rFonts w:hint="default" w:ascii="Times New Roman Regular" w:hAnsi="Times New Roman Regular" w:cs="Times New Roman Regular" w:eastAsiaTheme="minorEastAsia"/>
          <w:color w:val="0000FF"/>
          <w:lang w:val="en-US" w:eastAsia="zh-CN"/>
        </w:rPr>
        <w:t>e have ensured that boxplots are used to compare observed and predicted concentrations. These boxplots inherently display the interquartile range (IQR), whiskers, and outliers, providing a clear visual indication of distributional uncertainty and model stability across different data augmentation levels.</w:t>
      </w:r>
    </w:p>
    <w:p w14:paraId="3D24C4D2">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p>
    <w:p w14:paraId="682A608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believe these improvements have significantly enhanced the clarity, rigor, and readability of the figures and the overall manuscript.</w:t>
      </w:r>
    </w:p>
    <w:p w14:paraId="250E7278">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p>
    <w:p w14:paraId="7C5AD05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agree that making figures self-explanatory is crucial for improving the readability and accessibility of the manuscript. Accordingly, we have thoroughly reviewed and revised the captions for all figures (Fig. 1 to Fig. 22) in the revised manuscript.</w:t>
      </w:r>
    </w:p>
    <w:p w14:paraId="05FF0ED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p>
    <w:p w14:paraId="49B22E1B">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44DE41D2">
      <w:pPr>
        <w:spacing w:line="300" w:lineRule="auto"/>
        <w:outlineLvl w:val="1"/>
        <w:rPr>
          <w:rFonts w:ascii="Times New Roman Regular" w:hAnsi="Times New Roman Regular" w:cs="Times New Roman Regular"/>
          <w:color w:val="0000FF"/>
        </w:rPr>
      </w:pPr>
      <w:r>
        <w:rPr>
          <w:rFonts w:ascii="Times New Roman Regular" w:hAnsi="Times New Roman Regular" w:cs="Times New Roman Regular"/>
          <w:color w:val="0000FF"/>
        </w:rPr>
        <w:t>3.</w:t>
      </w:r>
      <w:r>
        <w:rPr>
          <w:rFonts w:hint="eastAsia" w:ascii="Times New Roman Regular" w:hAnsi="Times New Roman Regular" w:cs="Times New Roman Regular"/>
          <w:color w:val="0000FF"/>
        </w:rPr>
        <w:t>4</w:t>
      </w:r>
      <w:r>
        <w:rPr>
          <w:rFonts w:ascii="Times New Roman Regular" w:hAnsi="Times New Roman Regular" w:cs="Times New Roman Regular"/>
          <w:color w:val="0000FF"/>
        </w:rPr>
        <w:t xml:space="preserve"> Model performance evaluation</w:t>
      </w:r>
    </w:p>
    <w:p w14:paraId="1D8FFF51">
      <w:pPr>
        <w:spacing w:line="300" w:lineRule="auto"/>
        <w:outlineLvl w:val="2"/>
        <w:rPr>
          <w:rFonts w:ascii="Times New Roman Regular" w:hAnsi="Times New Roman Regular" w:cs="Times New Roman Regular"/>
          <w:color w:val="0000FF"/>
        </w:rPr>
      </w:pPr>
      <w:r>
        <w:rPr>
          <w:rFonts w:hint="eastAsia" w:ascii="Times New Roman Regular" w:hAnsi="Times New Roman Regular" w:cs="Times New Roman Regular"/>
          <w:color w:val="0000FF"/>
        </w:rPr>
        <w:t>3.4.1 Virtual data analysis</w:t>
      </w:r>
    </w:p>
    <w:p w14:paraId="38427ABA">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To address the modeling bias arising from limited measured samples, this study constructed virtual datasets at 1-10 times the original scale based on a strategy combining t-SNE dimensionality reduction, GMM clustering sampling, and KNN inverse mapping, to enhance the robustness of model training. Taking the 10x virtual dataset as an example, the statistical characteristics (</w:t>
      </w:r>
      <w:r>
        <w:rPr>
          <w:rFonts w:hint="eastAsia" w:ascii="Times New Roman Regular" w:hAnsi="Times New Roman Regular" w:cs="Times New Roman Regular"/>
          <w:color w:val="0000FF"/>
        </w:rPr>
        <w:t>Table</w:t>
      </w:r>
      <w:r>
        <w:rPr>
          <w:rFonts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4</w:t>
      </w:r>
      <w:r>
        <w:rPr>
          <w:rFonts w:hint="eastAsia" w:ascii="Times New Roman Regular" w:hAnsi="Times New Roman Regular" w:cs="Times New Roman Regular"/>
          <w:color w:val="0000FF"/>
        </w:rPr>
        <w:t>) show that the virtual samples effectively reproduced the central tendency and dispersion of the original data. For the normal season, the mean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concentration was 30.41 mg L</w:t>
      </w:r>
      <w:r>
        <w:rPr>
          <w:rFonts w:hint="eastAsia"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xml:space="preserve"> (vs. </w:t>
      </w:r>
      <w:r>
        <w:rPr>
          <w:rFonts w:ascii="Times New Roman Regular" w:hAnsi="Times New Roman Regular" w:cs="Times New Roman Regular"/>
          <w:color w:val="0000FF"/>
        </w:rPr>
        <w:t xml:space="preserve">observed </w:t>
      </w:r>
      <w:r>
        <w:rPr>
          <w:rFonts w:hint="eastAsia" w:ascii="Times New Roman Regular" w:hAnsi="Times New Roman Regular" w:cs="Times New Roman Regular"/>
          <w:color w:val="0000FF"/>
        </w:rPr>
        <w:t>mean of 33.67), with a standard deviation of 28.78 (vs. 35.83) and a coefficient of variation (CV) of 0.95 (vs. 1.06). In the dry season, the maximum value of the virtual samples reached 178.09 mg L</w:t>
      </w:r>
      <w:r>
        <w:rPr>
          <w:rFonts w:ascii="Times New Roman Regular" w:hAnsi="Times New Roman Regular" w:cs="Times New Roman Regular"/>
          <w:color w:val="0000FF"/>
          <w:vertAlign w:val="superscript"/>
        </w:rPr>
        <w:t>-1</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while this did not fully replicate the extreme high values (</w:t>
      </w:r>
      <w:r>
        <w:rPr>
          <w:rFonts w:ascii="Times New Roman Regular" w:hAnsi="Times New Roman Regular" w:cs="Times New Roman Regular"/>
          <w:color w:val="0000FF"/>
        </w:rPr>
        <w:t xml:space="preserve">observed </w:t>
      </w:r>
      <w:r>
        <w:rPr>
          <w:rFonts w:hint="eastAsia" w:ascii="Times New Roman Regular" w:hAnsi="Times New Roman Regular" w:cs="Times New Roman Regular"/>
          <w:color w:val="0000FF"/>
        </w:rPr>
        <w:t>maximum of 358.58 mg L</w:t>
      </w:r>
      <w:r>
        <w:rPr>
          <w:rFonts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it effectively expanded the range of the heavy-tailed distribution. For the wet season, although the CV for all indicators was slightly lower than the measured values, their ranges (8.47</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80.37 vs. 4.15</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98.36 mg L</w:t>
      </w:r>
      <w:r>
        <w:rPr>
          <w:rFonts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xml:space="preserve">) still showed a high degree of overlap, indicating that no systematic distortion was introduced. </w:t>
      </w:r>
    </w:p>
    <w:p w14:paraId="696B032A">
      <w:pPr>
        <w:spacing w:line="300" w:lineRule="auto"/>
        <w:rPr>
          <w:rFonts w:ascii="Times New Roman Regular" w:hAnsi="Times New Roman Regular" w:cs="Times New Roman Regular"/>
          <w:color w:val="0000FF"/>
        </w:rPr>
      </w:pPr>
      <w:r>
        <w:rPr>
          <w:rFonts w:ascii="Times New Roman Bold" w:hAnsi="Times New Roman Bold" w:cs="Times New Roman Bold"/>
          <w:b/>
          <w:bCs/>
          <w:color w:val="0000FF"/>
        </w:rPr>
        <w:t xml:space="preserve">Table </w:t>
      </w:r>
      <w:r>
        <w:rPr>
          <w:rFonts w:hint="default" w:ascii="Times New Roman Bold" w:hAnsi="Times New Roman Bold" w:cs="Times New Roman Bold"/>
          <w:b/>
          <w:bCs/>
          <w:color w:val="0000FF"/>
          <w:lang w:val="en-US"/>
        </w:rPr>
        <w:t>4</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Statistical characteristics of different virtual</w:t>
      </w:r>
      <w:r>
        <w:rPr>
          <w:rFonts w:ascii="Times New Roman Regular" w:hAnsi="Times New Roman Regular" w:cs="Times New Roman Regular"/>
          <w:color w:val="0000FF"/>
        </w:rPr>
        <w:t xml:space="preserve"> samples</w:t>
      </w:r>
      <w:r>
        <w:rPr>
          <w:rFonts w:hint="eastAsia" w:ascii="Times New Roman Regular" w:hAnsi="Times New Roman Regular" w:cs="Times New Roman Regular"/>
          <w:color w:val="0000FF"/>
        </w:rPr>
        <w:t>.</w:t>
      </w:r>
    </w:p>
    <w:tbl>
      <w:tblPr>
        <w:tblStyle w:val="5"/>
        <w:tblW w:w="8790" w:type="dxa"/>
        <w:jc w:val="center"/>
        <w:tblLayout w:type="fixed"/>
        <w:tblCellMar>
          <w:top w:w="0" w:type="dxa"/>
          <w:left w:w="108" w:type="dxa"/>
          <w:bottom w:w="0" w:type="dxa"/>
          <w:right w:w="108" w:type="dxa"/>
        </w:tblCellMar>
      </w:tblPr>
      <w:tblGrid>
        <w:gridCol w:w="1436"/>
        <w:gridCol w:w="695"/>
        <w:gridCol w:w="801"/>
        <w:gridCol w:w="833"/>
        <w:gridCol w:w="982"/>
        <w:gridCol w:w="850"/>
        <w:gridCol w:w="863"/>
        <w:gridCol w:w="710"/>
        <w:gridCol w:w="810"/>
        <w:gridCol w:w="810"/>
      </w:tblGrid>
      <w:tr w14:paraId="55F803C8">
        <w:trPr>
          <w:trHeight w:val="340" w:hRule="atLeast"/>
          <w:jc w:val="center"/>
        </w:trPr>
        <w:tc>
          <w:tcPr>
            <w:tcW w:w="1436" w:type="dxa"/>
            <w:tcBorders>
              <w:top w:val="single" w:color="auto" w:sz="4" w:space="0"/>
              <w:left w:val="nil"/>
              <w:bottom w:val="nil"/>
              <w:right w:val="nil"/>
            </w:tcBorders>
            <w:noWrap/>
            <w:vAlign w:val="center"/>
          </w:tcPr>
          <w:p w14:paraId="49655B0B">
            <w:pPr>
              <w:widowControl/>
              <w:spacing w:line="300" w:lineRule="auto"/>
              <w:jc w:val="center"/>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Periods</w:t>
            </w:r>
          </w:p>
        </w:tc>
        <w:tc>
          <w:tcPr>
            <w:tcW w:w="695" w:type="dxa"/>
            <w:tcBorders>
              <w:top w:val="single" w:color="auto" w:sz="4" w:space="0"/>
              <w:left w:val="nil"/>
              <w:bottom w:val="nil"/>
              <w:right w:val="nil"/>
            </w:tcBorders>
            <w:noWrap/>
            <w:vAlign w:val="center"/>
          </w:tcPr>
          <w:p w14:paraId="50628757">
            <w:pPr>
              <w:spacing w:line="300" w:lineRule="auto"/>
              <w:jc w:val="center"/>
              <w:rPr>
                <w:rFonts w:ascii="Times New Roman" w:hAnsi="Times New Roman" w:eastAsia="宋体" w:cs="Times New Roman"/>
                <w:color w:val="0000FF"/>
                <w:sz w:val="18"/>
                <w:szCs w:val="18"/>
              </w:rPr>
            </w:pPr>
          </w:p>
        </w:tc>
        <w:tc>
          <w:tcPr>
            <w:tcW w:w="801" w:type="dxa"/>
            <w:tcBorders>
              <w:top w:val="single" w:color="auto" w:sz="4" w:space="0"/>
              <w:left w:val="nil"/>
              <w:bottom w:val="nil"/>
              <w:right w:val="nil"/>
            </w:tcBorders>
            <w:noWrap/>
            <w:vAlign w:val="center"/>
          </w:tcPr>
          <w:p w14:paraId="6EEF0658">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pH</w:t>
            </w:r>
          </w:p>
        </w:tc>
        <w:tc>
          <w:tcPr>
            <w:tcW w:w="833" w:type="dxa"/>
            <w:tcBorders>
              <w:top w:val="single" w:color="auto" w:sz="4" w:space="0"/>
              <w:left w:val="nil"/>
              <w:bottom w:val="nil"/>
              <w:right w:val="nil"/>
            </w:tcBorders>
            <w:noWrap/>
            <w:vAlign w:val="center"/>
          </w:tcPr>
          <w:p w14:paraId="62D353D4">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T</w:t>
            </w:r>
          </w:p>
        </w:tc>
        <w:tc>
          <w:tcPr>
            <w:tcW w:w="982" w:type="dxa"/>
            <w:tcBorders>
              <w:top w:val="single" w:color="auto" w:sz="4" w:space="0"/>
              <w:left w:val="nil"/>
              <w:bottom w:val="nil"/>
              <w:right w:val="nil"/>
            </w:tcBorders>
            <w:noWrap/>
            <w:vAlign w:val="center"/>
          </w:tcPr>
          <w:p w14:paraId="6043E194">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EC</w:t>
            </w:r>
          </w:p>
        </w:tc>
        <w:tc>
          <w:tcPr>
            <w:tcW w:w="850" w:type="dxa"/>
            <w:tcBorders>
              <w:top w:val="single" w:color="auto" w:sz="4" w:space="0"/>
              <w:left w:val="nil"/>
              <w:bottom w:val="nil"/>
              <w:right w:val="nil"/>
            </w:tcBorders>
            <w:noWrap/>
            <w:vAlign w:val="center"/>
          </w:tcPr>
          <w:p w14:paraId="2731C462">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DO</w:t>
            </w:r>
          </w:p>
        </w:tc>
        <w:tc>
          <w:tcPr>
            <w:tcW w:w="863" w:type="dxa"/>
            <w:tcBorders>
              <w:top w:val="single" w:color="auto" w:sz="4" w:space="0"/>
              <w:left w:val="nil"/>
              <w:bottom w:val="nil"/>
              <w:right w:val="nil"/>
            </w:tcBorders>
            <w:noWrap/>
            <w:vAlign w:val="center"/>
          </w:tcPr>
          <w:p w14:paraId="3B47A05E">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ORP</w:t>
            </w:r>
          </w:p>
        </w:tc>
        <w:tc>
          <w:tcPr>
            <w:tcW w:w="710" w:type="dxa"/>
            <w:tcBorders>
              <w:top w:val="single" w:color="auto" w:sz="4" w:space="0"/>
              <w:left w:val="nil"/>
              <w:bottom w:val="nil"/>
              <w:right w:val="nil"/>
            </w:tcBorders>
            <w:noWrap/>
            <w:vAlign w:val="center"/>
          </w:tcPr>
          <w:p w14:paraId="45E01BE7">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Salt</w:t>
            </w:r>
          </w:p>
        </w:tc>
        <w:tc>
          <w:tcPr>
            <w:tcW w:w="810" w:type="dxa"/>
            <w:tcBorders>
              <w:top w:val="single" w:color="auto" w:sz="4" w:space="0"/>
              <w:left w:val="nil"/>
              <w:bottom w:val="nil"/>
              <w:right w:val="nil"/>
            </w:tcBorders>
            <w:noWrap/>
            <w:vAlign w:val="center"/>
          </w:tcPr>
          <w:p w14:paraId="419B3A05">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TDS</w:t>
            </w:r>
          </w:p>
        </w:tc>
        <w:tc>
          <w:tcPr>
            <w:tcW w:w="810" w:type="dxa"/>
            <w:tcBorders>
              <w:top w:val="single" w:color="auto" w:sz="4" w:space="0"/>
              <w:left w:val="nil"/>
              <w:bottom w:val="nil"/>
              <w:right w:val="nil"/>
            </w:tcBorders>
            <w:noWrap/>
            <w:vAlign w:val="center"/>
          </w:tcPr>
          <w:p w14:paraId="7B0DA821">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NO</w:t>
            </w:r>
            <w:r>
              <w:rPr>
                <w:rFonts w:ascii="Times New Roman Regular" w:hAnsi="Times New Roman Regular" w:eastAsia="宋体" w:cs="Times New Roman Regular"/>
                <w:color w:val="0000FF"/>
                <w:kern w:val="0"/>
                <w:sz w:val="18"/>
                <w:szCs w:val="18"/>
                <w:vertAlign w:val="subscript"/>
                <w:lang w:bidi="ar"/>
              </w:rPr>
              <w:t>3</w:t>
            </w:r>
            <w:r>
              <w:rPr>
                <w:rFonts w:ascii="Times New Roman Regular" w:hAnsi="Times New Roman Regular" w:eastAsia="宋体" w:cs="Times New Roman Regular"/>
                <w:color w:val="0000FF"/>
                <w:kern w:val="0"/>
                <w:sz w:val="18"/>
                <w:szCs w:val="18"/>
                <w:vertAlign w:val="superscript"/>
                <w:lang w:bidi="ar"/>
              </w:rPr>
              <w:t>-</w:t>
            </w:r>
          </w:p>
        </w:tc>
      </w:tr>
      <w:tr w14:paraId="664E910C">
        <w:trPr>
          <w:trHeight w:val="340" w:hRule="atLeast"/>
          <w:jc w:val="center"/>
        </w:trPr>
        <w:tc>
          <w:tcPr>
            <w:tcW w:w="1436" w:type="dxa"/>
            <w:tcBorders>
              <w:top w:val="nil"/>
              <w:left w:val="nil"/>
              <w:bottom w:val="single" w:color="auto" w:sz="4" w:space="0"/>
              <w:right w:val="nil"/>
            </w:tcBorders>
            <w:noWrap/>
            <w:vAlign w:val="center"/>
          </w:tcPr>
          <w:p w14:paraId="26B5EAFF">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single" w:color="auto" w:sz="4" w:space="0"/>
              <w:right w:val="nil"/>
            </w:tcBorders>
            <w:noWrap/>
            <w:vAlign w:val="center"/>
          </w:tcPr>
          <w:p w14:paraId="2C04FC39">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Unit</w:t>
            </w:r>
          </w:p>
        </w:tc>
        <w:tc>
          <w:tcPr>
            <w:tcW w:w="801" w:type="dxa"/>
            <w:tcBorders>
              <w:top w:val="nil"/>
              <w:left w:val="nil"/>
              <w:bottom w:val="single" w:color="auto" w:sz="4" w:space="0"/>
              <w:right w:val="nil"/>
            </w:tcBorders>
            <w:noWrap/>
            <w:vAlign w:val="center"/>
          </w:tcPr>
          <w:p w14:paraId="564CEA67">
            <w:pPr>
              <w:spacing w:line="300" w:lineRule="auto"/>
              <w:rPr>
                <w:rFonts w:ascii="Times New Roman Regular" w:hAnsi="Times New Roman Regular" w:eastAsia="宋体" w:cs="Times New Roman Regular"/>
                <w:color w:val="0000FF"/>
                <w:sz w:val="18"/>
                <w:szCs w:val="18"/>
              </w:rPr>
            </w:pPr>
          </w:p>
        </w:tc>
        <w:tc>
          <w:tcPr>
            <w:tcW w:w="833" w:type="dxa"/>
            <w:tcBorders>
              <w:top w:val="nil"/>
              <w:left w:val="nil"/>
              <w:bottom w:val="single" w:color="auto" w:sz="4" w:space="0"/>
              <w:right w:val="nil"/>
            </w:tcBorders>
            <w:noWrap/>
            <w:vAlign w:val="center"/>
          </w:tcPr>
          <w:p w14:paraId="5FC94722">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w:t>
            </w:r>
          </w:p>
        </w:tc>
        <w:tc>
          <w:tcPr>
            <w:tcW w:w="982" w:type="dxa"/>
            <w:tcBorders>
              <w:top w:val="nil"/>
              <w:left w:val="nil"/>
              <w:bottom w:val="single" w:color="auto" w:sz="4" w:space="0"/>
              <w:right w:val="nil"/>
            </w:tcBorders>
            <w:noWrap/>
            <w:vAlign w:val="center"/>
          </w:tcPr>
          <w:p w14:paraId="47BADBC3">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μs cm</w:t>
            </w:r>
            <w:r>
              <w:rPr>
                <w:rFonts w:ascii="Times New Roman Regular" w:hAnsi="Times New Roman Regular" w:eastAsia="宋体" w:cs="Times New Roman Regular"/>
                <w:color w:val="0000FF"/>
                <w:kern w:val="0"/>
                <w:sz w:val="18"/>
                <w:szCs w:val="18"/>
                <w:vertAlign w:val="superscript"/>
                <w:lang w:bidi="ar"/>
              </w:rPr>
              <w:t>-1</w:t>
            </w:r>
          </w:p>
        </w:tc>
        <w:tc>
          <w:tcPr>
            <w:tcW w:w="850" w:type="dxa"/>
            <w:tcBorders>
              <w:top w:val="nil"/>
              <w:left w:val="nil"/>
              <w:bottom w:val="single" w:color="auto" w:sz="4" w:space="0"/>
              <w:right w:val="nil"/>
            </w:tcBorders>
            <w:noWrap/>
            <w:vAlign w:val="center"/>
          </w:tcPr>
          <w:p w14:paraId="668D9DB5">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mg L</w:t>
            </w:r>
            <w:r>
              <w:rPr>
                <w:rFonts w:ascii="Times New Roman Regular" w:hAnsi="Times New Roman Regular" w:eastAsia="宋体" w:cs="Times New Roman Regular"/>
                <w:color w:val="0000FF"/>
                <w:kern w:val="0"/>
                <w:sz w:val="18"/>
                <w:szCs w:val="18"/>
                <w:vertAlign w:val="superscript"/>
                <w:lang w:bidi="ar"/>
              </w:rPr>
              <w:t>-1</w:t>
            </w:r>
          </w:p>
        </w:tc>
        <w:tc>
          <w:tcPr>
            <w:tcW w:w="863" w:type="dxa"/>
            <w:tcBorders>
              <w:top w:val="nil"/>
              <w:left w:val="nil"/>
              <w:bottom w:val="single" w:color="auto" w:sz="4" w:space="0"/>
              <w:right w:val="nil"/>
            </w:tcBorders>
            <w:noWrap/>
            <w:vAlign w:val="center"/>
          </w:tcPr>
          <w:p w14:paraId="61E808BC">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mv</w:t>
            </w:r>
          </w:p>
        </w:tc>
        <w:tc>
          <w:tcPr>
            <w:tcW w:w="710" w:type="dxa"/>
            <w:tcBorders>
              <w:top w:val="nil"/>
              <w:left w:val="nil"/>
              <w:bottom w:val="single" w:color="auto" w:sz="4" w:space="0"/>
              <w:right w:val="nil"/>
            </w:tcBorders>
            <w:noWrap/>
            <w:vAlign w:val="center"/>
          </w:tcPr>
          <w:p w14:paraId="1DA4084A">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ppt</w:t>
            </w:r>
          </w:p>
        </w:tc>
        <w:tc>
          <w:tcPr>
            <w:tcW w:w="810" w:type="dxa"/>
            <w:tcBorders>
              <w:top w:val="nil"/>
              <w:left w:val="nil"/>
              <w:bottom w:val="single" w:color="auto" w:sz="4" w:space="0"/>
              <w:right w:val="nil"/>
            </w:tcBorders>
            <w:noWrap/>
            <w:vAlign w:val="center"/>
          </w:tcPr>
          <w:p w14:paraId="38DEB941">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mg L</w:t>
            </w:r>
            <w:r>
              <w:rPr>
                <w:rFonts w:ascii="Times New Roman Regular" w:hAnsi="Times New Roman Regular" w:eastAsia="宋体" w:cs="Times New Roman Regular"/>
                <w:color w:val="0000FF"/>
                <w:kern w:val="0"/>
                <w:sz w:val="18"/>
                <w:szCs w:val="18"/>
                <w:vertAlign w:val="superscript"/>
                <w:lang w:bidi="ar"/>
              </w:rPr>
              <w:t>-1</w:t>
            </w:r>
          </w:p>
        </w:tc>
        <w:tc>
          <w:tcPr>
            <w:tcW w:w="810" w:type="dxa"/>
            <w:tcBorders>
              <w:top w:val="nil"/>
              <w:left w:val="nil"/>
              <w:bottom w:val="single" w:color="auto" w:sz="4" w:space="0"/>
              <w:right w:val="nil"/>
            </w:tcBorders>
            <w:noWrap/>
            <w:vAlign w:val="center"/>
          </w:tcPr>
          <w:p w14:paraId="5375B932">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mg L</w:t>
            </w:r>
            <w:r>
              <w:rPr>
                <w:rFonts w:ascii="Times New Roman Regular" w:hAnsi="Times New Roman Regular" w:eastAsia="宋体" w:cs="Times New Roman Regular"/>
                <w:color w:val="0000FF"/>
                <w:kern w:val="0"/>
                <w:sz w:val="18"/>
                <w:szCs w:val="18"/>
                <w:vertAlign w:val="superscript"/>
                <w:lang w:bidi="ar"/>
              </w:rPr>
              <w:t>-1</w:t>
            </w:r>
          </w:p>
        </w:tc>
      </w:tr>
      <w:tr w14:paraId="0A1A9415">
        <w:trPr>
          <w:trHeight w:val="336" w:hRule="atLeast"/>
          <w:jc w:val="center"/>
        </w:trPr>
        <w:tc>
          <w:tcPr>
            <w:tcW w:w="1436" w:type="dxa"/>
            <w:tcBorders>
              <w:top w:val="single" w:color="auto" w:sz="4" w:space="0"/>
              <w:left w:val="nil"/>
              <w:bottom w:val="nil"/>
              <w:right w:val="nil"/>
            </w:tcBorders>
            <w:noWrap/>
            <w:vAlign w:val="center"/>
          </w:tcPr>
          <w:p w14:paraId="6F1F6A0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Normal season</w:t>
            </w:r>
          </w:p>
        </w:tc>
        <w:tc>
          <w:tcPr>
            <w:tcW w:w="695" w:type="dxa"/>
            <w:tcBorders>
              <w:top w:val="single" w:color="auto" w:sz="4" w:space="0"/>
              <w:left w:val="nil"/>
              <w:bottom w:val="nil"/>
              <w:right w:val="nil"/>
            </w:tcBorders>
            <w:noWrap/>
            <w:vAlign w:val="center"/>
          </w:tcPr>
          <w:p w14:paraId="233455C2">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Max</w:t>
            </w:r>
          </w:p>
        </w:tc>
        <w:tc>
          <w:tcPr>
            <w:tcW w:w="801" w:type="dxa"/>
            <w:tcBorders>
              <w:top w:val="single" w:color="auto" w:sz="4" w:space="0"/>
              <w:left w:val="nil"/>
              <w:bottom w:val="nil"/>
              <w:right w:val="nil"/>
            </w:tcBorders>
            <w:noWrap/>
            <w:vAlign w:val="center"/>
          </w:tcPr>
          <w:p w14:paraId="29CAAFA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8.32</w:t>
            </w:r>
          </w:p>
        </w:tc>
        <w:tc>
          <w:tcPr>
            <w:tcW w:w="833" w:type="dxa"/>
            <w:tcBorders>
              <w:top w:val="single" w:color="auto" w:sz="4" w:space="0"/>
              <w:left w:val="nil"/>
              <w:bottom w:val="nil"/>
              <w:right w:val="nil"/>
            </w:tcBorders>
            <w:noWrap/>
            <w:vAlign w:val="center"/>
          </w:tcPr>
          <w:p w14:paraId="5FC1214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16.2</w:t>
            </w:r>
          </w:p>
        </w:tc>
        <w:tc>
          <w:tcPr>
            <w:tcW w:w="982" w:type="dxa"/>
            <w:tcBorders>
              <w:top w:val="single" w:color="auto" w:sz="4" w:space="0"/>
              <w:left w:val="nil"/>
              <w:bottom w:val="nil"/>
              <w:right w:val="nil"/>
            </w:tcBorders>
            <w:noWrap/>
            <w:vAlign w:val="center"/>
          </w:tcPr>
          <w:p w14:paraId="0F27C1C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963.6</w:t>
            </w:r>
          </w:p>
        </w:tc>
        <w:tc>
          <w:tcPr>
            <w:tcW w:w="850" w:type="dxa"/>
            <w:tcBorders>
              <w:top w:val="single" w:color="auto" w:sz="4" w:space="0"/>
              <w:left w:val="nil"/>
              <w:bottom w:val="nil"/>
              <w:right w:val="nil"/>
            </w:tcBorders>
            <w:noWrap/>
            <w:vAlign w:val="center"/>
          </w:tcPr>
          <w:p w14:paraId="034175E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9.31</w:t>
            </w:r>
          </w:p>
        </w:tc>
        <w:tc>
          <w:tcPr>
            <w:tcW w:w="863" w:type="dxa"/>
            <w:tcBorders>
              <w:top w:val="single" w:color="auto" w:sz="4" w:space="0"/>
              <w:left w:val="nil"/>
              <w:bottom w:val="nil"/>
              <w:right w:val="nil"/>
            </w:tcBorders>
            <w:noWrap/>
            <w:vAlign w:val="center"/>
          </w:tcPr>
          <w:p w14:paraId="01545EB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101.02</w:t>
            </w:r>
          </w:p>
        </w:tc>
        <w:tc>
          <w:tcPr>
            <w:tcW w:w="710" w:type="dxa"/>
            <w:tcBorders>
              <w:top w:val="single" w:color="auto" w:sz="4" w:space="0"/>
              <w:left w:val="nil"/>
              <w:bottom w:val="nil"/>
              <w:right w:val="nil"/>
            </w:tcBorders>
            <w:noWrap/>
            <w:vAlign w:val="center"/>
          </w:tcPr>
          <w:p w14:paraId="1CC206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0.42</w:t>
            </w:r>
          </w:p>
        </w:tc>
        <w:tc>
          <w:tcPr>
            <w:tcW w:w="810" w:type="dxa"/>
            <w:tcBorders>
              <w:top w:val="single" w:color="auto" w:sz="4" w:space="0"/>
              <w:left w:val="nil"/>
              <w:bottom w:val="nil"/>
              <w:right w:val="nil"/>
            </w:tcBorders>
            <w:noWrap/>
            <w:vAlign w:val="center"/>
          </w:tcPr>
          <w:p w14:paraId="5A6EBEF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628.6</w:t>
            </w:r>
          </w:p>
        </w:tc>
        <w:tc>
          <w:tcPr>
            <w:tcW w:w="810" w:type="dxa"/>
            <w:tcBorders>
              <w:top w:val="single" w:color="auto" w:sz="4" w:space="0"/>
              <w:left w:val="nil"/>
              <w:bottom w:val="nil"/>
              <w:right w:val="nil"/>
            </w:tcBorders>
            <w:noWrap/>
            <w:vAlign w:val="center"/>
          </w:tcPr>
          <w:p w14:paraId="65A1C54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124.03</w:t>
            </w:r>
          </w:p>
        </w:tc>
      </w:tr>
      <w:tr w14:paraId="0D85B0B2">
        <w:trPr>
          <w:trHeight w:val="336" w:hRule="atLeast"/>
          <w:jc w:val="center"/>
        </w:trPr>
        <w:tc>
          <w:tcPr>
            <w:tcW w:w="1436" w:type="dxa"/>
            <w:tcBorders>
              <w:top w:val="nil"/>
              <w:left w:val="nil"/>
              <w:bottom w:val="nil"/>
              <w:right w:val="nil"/>
            </w:tcBorders>
            <w:noWrap/>
            <w:vAlign w:val="center"/>
          </w:tcPr>
          <w:p w14:paraId="38AFA832">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n=66</w:t>
            </w:r>
            <w:r>
              <w:rPr>
                <w:rFonts w:hint="eastAsia" w:ascii="Times New Roman Regular" w:hAnsi="Times New Roman Regular" w:eastAsia="宋体" w:cs="Times New Roman Regular"/>
                <w:color w:val="0000FF"/>
                <w:kern w:val="0"/>
                <w:sz w:val="18"/>
                <w:szCs w:val="18"/>
                <w:lang w:bidi="ar"/>
              </w:rPr>
              <w:t>0</w:t>
            </w:r>
          </w:p>
        </w:tc>
        <w:tc>
          <w:tcPr>
            <w:tcW w:w="695" w:type="dxa"/>
            <w:tcBorders>
              <w:top w:val="nil"/>
              <w:left w:val="nil"/>
              <w:bottom w:val="nil"/>
              <w:right w:val="nil"/>
            </w:tcBorders>
            <w:noWrap/>
            <w:vAlign w:val="center"/>
          </w:tcPr>
          <w:p w14:paraId="45D45357">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Min</w:t>
            </w:r>
          </w:p>
        </w:tc>
        <w:tc>
          <w:tcPr>
            <w:tcW w:w="801" w:type="dxa"/>
            <w:tcBorders>
              <w:top w:val="nil"/>
              <w:left w:val="nil"/>
              <w:bottom w:val="nil"/>
              <w:right w:val="nil"/>
            </w:tcBorders>
            <w:noWrap/>
            <w:vAlign w:val="center"/>
          </w:tcPr>
          <w:p w14:paraId="7D8E0DE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7.95</w:t>
            </w:r>
          </w:p>
        </w:tc>
        <w:tc>
          <w:tcPr>
            <w:tcW w:w="833" w:type="dxa"/>
            <w:tcBorders>
              <w:top w:val="nil"/>
              <w:left w:val="nil"/>
              <w:bottom w:val="nil"/>
              <w:right w:val="nil"/>
            </w:tcBorders>
            <w:noWrap/>
            <w:vAlign w:val="center"/>
          </w:tcPr>
          <w:p w14:paraId="4DB7C32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13.88</w:t>
            </w:r>
          </w:p>
        </w:tc>
        <w:tc>
          <w:tcPr>
            <w:tcW w:w="982" w:type="dxa"/>
            <w:tcBorders>
              <w:top w:val="nil"/>
              <w:left w:val="nil"/>
              <w:bottom w:val="nil"/>
              <w:right w:val="nil"/>
            </w:tcBorders>
            <w:noWrap/>
            <w:vAlign w:val="center"/>
          </w:tcPr>
          <w:p w14:paraId="1DC5F15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378.2</w:t>
            </w:r>
          </w:p>
        </w:tc>
        <w:tc>
          <w:tcPr>
            <w:tcW w:w="850" w:type="dxa"/>
            <w:tcBorders>
              <w:top w:val="nil"/>
              <w:left w:val="nil"/>
              <w:bottom w:val="nil"/>
              <w:right w:val="nil"/>
            </w:tcBorders>
            <w:noWrap/>
            <w:vAlign w:val="center"/>
          </w:tcPr>
          <w:p w14:paraId="4DC8E92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3.52</w:t>
            </w:r>
          </w:p>
        </w:tc>
        <w:tc>
          <w:tcPr>
            <w:tcW w:w="863" w:type="dxa"/>
            <w:tcBorders>
              <w:top w:val="nil"/>
              <w:left w:val="nil"/>
              <w:bottom w:val="nil"/>
              <w:right w:val="nil"/>
            </w:tcBorders>
            <w:noWrap/>
            <w:vAlign w:val="center"/>
          </w:tcPr>
          <w:p w14:paraId="2FA566B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-48.28</w:t>
            </w:r>
          </w:p>
        </w:tc>
        <w:tc>
          <w:tcPr>
            <w:tcW w:w="710" w:type="dxa"/>
            <w:tcBorders>
              <w:top w:val="nil"/>
              <w:left w:val="nil"/>
              <w:bottom w:val="nil"/>
              <w:right w:val="nil"/>
            </w:tcBorders>
            <w:noWrap/>
            <w:vAlign w:val="center"/>
          </w:tcPr>
          <w:p w14:paraId="77635E3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0.12</w:t>
            </w:r>
          </w:p>
        </w:tc>
        <w:tc>
          <w:tcPr>
            <w:tcW w:w="810" w:type="dxa"/>
            <w:tcBorders>
              <w:top w:val="nil"/>
              <w:left w:val="nil"/>
              <w:bottom w:val="nil"/>
              <w:right w:val="nil"/>
            </w:tcBorders>
            <w:noWrap/>
            <w:vAlign w:val="center"/>
          </w:tcPr>
          <w:p w14:paraId="3A23347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245</w:t>
            </w:r>
          </w:p>
        </w:tc>
        <w:tc>
          <w:tcPr>
            <w:tcW w:w="810" w:type="dxa"/>
            <w:tcBorders>
              <w:top w:val="nil"/>
              <w:left w:val="nil"/>
              <w:bottom w:val="nil"/>
              <w:right w:val="nil"/>
            </w:tcBorders>
            <w:noWrap/>
            <w:vAlign w:val="center"/>
          </w:tcPr>
          <w:p w14:paraId="73A1494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5.10</w:t>
            </w:r>
          </w:p>
        </w:tc>
      </w:tr>
      <w:tr w14:paraId="24000CBD">
        <w:trPr>
          <w:trHeight w:val="336" w:hRule="atLeast"/>
          <w:jc w:val="center"/>
        </w:trPr>
        <w:tc>
          <w:tcPr>
            <w:tcW w:w="1436" w:type="dxa"/>
            <w:tcBorders>
              <w:top w:val="nil"/>
              <w:left w:val="nil"/>
              <w:bottom w:val="nil"/>
              <w:right w:val="nil"/>
            </w:tcBorders>
            <w:noWrap/>
            <w:vAlign w:val="center"/>
          </w:tcPr>
          <w:p w14:paraId="5CD8463F">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700BD7D2">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Mean</w:t>
            </w:r>
          </w:p>
        </w:tc>
        <w:tc>
          <w:tcPr>
            <w:tcW w:w="801" w:type="dxa"/>
            <w:tcBorders>
              <w:top w:val="nil"/>
              <w:left w:val="nil"/>
              <w:bottom w:val="nil"/>
              <w:right w:val="nil"/>
            </w:tcBorders>
            <w:noWrap/>
            <w:vAlign w:val="center"/>
          </w:tcPr>
          <w:p w14:paraId="1163739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8.18</w:t>
            </w:r>
          </w:p>
        </w:tc>
        <w:tc>
          <w:tcPr>
            <w:tcW w:w="833" w:type="dxa"/>
            <w:tcBorders>
              <w:top w:val="nil"/>
              <w:left w:val="nil"/>
              <w:bottom w:val="nil"/>
              <w:right w:val="nil"/>
            </w:tcBorders>
            <w:noWrap/>
            <w:vAlign w:val="center"/>
          </w:tcPr>
          <w:p w14:paraId="2F55919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14.72</w:t>
            </w:r>
          </w:p>
        </w:tc>
        <w:tc>
          <w:tcPr>
            <w:tcW w:w="982" w:type="dxa"/>
            <w:tcBorders>
              <w:top w:val="nil"/>
              <w:left w:val="nil"/>
              <w:bottom w:val="nil"/>
              <w:right w:val="nil"/>
            </w:tcBorders>
            <w:noWrap/>
            <w:vAlign w:val="center"/>
          </w:tcPr>
          <w:p w14:paraId="00C00B4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527.31</w:t>
            </w:r>
          </w:p>
        </w:tc>
        <w:tc>
          <w:tcPr>
            <w:tcW w:w="850" w:type="dxa"/>
            <w:tcBorders>
              <w:top w:val="nil"/>
              <w:left w:val="nil"/>
              <w:bottom w:val="nil"/>
              <w:right w:val="nil"/>
            </w:tcBorders>
            <w:noWrap/>
            <w:vAlign w:val="center"/>
          </w:tcPr>
          <w:p w14:paraId="627C809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6.66</w:t>
            </w:r>
          </w:p>
        </w:tc>
        <w:tc>
          <w:tcPr>
            <w:tcW w:w="863" w:type="dxa"/>
            <w:tcBorders>
              <w:top w:val="nil"/>
              <w:left w:val="nil"/>
              <w:bottom w:val="nil"/>
              <w:right w:val="nil"/>
            </w:tcBorders>
            <w:noWrap/>
            <w:vAlign w:val="center"/>
          </w:tcPr>
          <w:p w14:paraId="5D5D579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2.09</w:t>
            </w:r>
          </w:p>
        </w:tc>
        <w:tc>
          <w:tcPr>
            <w:tcW w:w="710" w:type="dxa"/>
            <w:tcBorders>
              <w:top w:val="nil"/>
              <w:left w:val="nil"/>
              <w:bottom w:val="nil"/>
              <w:right w:val="nil"/>
            </w:tcBorders>
            <w:noWrap/>
            <w:vAlign w:val="center"/>
          </w:tcPr>
          <w:p w14:paraId="60F5955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0.20</w:t>
            </w:r>
          </w:p>
        </w:tc>
        <w:tc>
          <w:tcPr>
            <w:tcW w:w="810" w:type="dxa"/>
            <w:tcBorders>
              <w:top w:val="nil"/>
              <w:left w:val="nil"/>
              <w:bottom w:val="nil"/>
              <w:right w:val="nil"/>
            </w:tcBorders>
            <w:noWrap/>
            <w:vAlign w:val="center"/>
          </w:tcPr>
          <w:p w14:paraId="486F1CD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342.72</w:t>
            </w:r>
          </w:p>
        </w:tc>
        <w:tc>
          <w:tcPr>
            <w:tcW w:w="810" w:type="dxa"/>
            <w:tcBorders>
              <w:top w:val="nil"/>
              <w:left w:val="nil"/>
              <w:bottom w:val="nil"/>
              <w:right w:val="nil"/>
            </w:tcBorders>
            <w:noWrap/>
            <w:vAlign w:val="center"/>
          </w:tcPr>
          <w:p w14:paraId="69B370E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30.41</w:t>
            </w:r>
          </w:p>
        </w:tc>
      </w:tr>
      <w:tr w14:paraId="36AD9D77">
        <w:trPr>
          <w:trHeight w:val="336" w:hRule="atLeast"/>
          <w:jc w:val="center"/>
        </w:trPr>
        <w:tc>
          <w:tcPr>
            <w:tcW w:w="1436" w:type="dxa"/>
            <w:tcBorders>
              <w:top w:val="nil"/>
              <w:left w:val="nil"/>
              <w:bottom w:val="nil"/>
              <w:right w:val="nil"/>
            </w:tcBorders>
            <w:noWrap/>
            <w:vAlign w:val="center"/>
          </w:tcPr>
          <w:p w14:paraId="30F583EE">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55D3100F">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SD</w:t>
            </w:r>
          </w:p>
        </w:tc>
        <w:tc>
          <w:tcPr>
            <w:tcW w:w="801" w:type="dxa"/>
            <w:tcBorders>
              <w:top w:val="nil"/>
              <w:left w:val="nil"/>
              <w:bottom w:val="nil"/>
              <w:right w:val="nil"/>
            </w:tcBorders>
            <w:noWrap/>
            <w:vAlign w:val="center"/>
          </w:tcPr>
          <w:p w14:paraId="1D1BFE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0.07</w:t>
            </w:r>
          </w:p>
        </w:tc>
        <w:tc>
          <w:tcPr>
            <w:tcW w:w="833" w:type="dxa"/>
            <w:tcBorders>
              <w:top w:val="nil"/>
              <w:left w:val="nil"/>
              <w:bottom w:val="nil"/>
              <w:right w:val="nil"/>
            </w:tcBorders>
            <w:noWrap/>
            <w:vAlign w:val="center"/>
          </w:tcPr>
          <w:p w14:paraId="55EDC9B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0.54</w:t>
            </w:r>
          </w:p>
        </w:tc>
        <w:tc>
          <w:tcPr>
            <w:tcW w:w="982" w:type="dxa"/>
            <w:tcBorders>
              <w:top w:val="nil"/>
              <w:left w:val="nil"/>
              <w:bottom w:val="nil"/>
              <w:right w:val="nil"/>
            </w:tcBorders>
            <w:noWrap/>
            <w:vAlign w:val="center"/>
          </w:tcPr>
          <w:p w14:paraId="1E60EDB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148.31</w:t>
            </w:r>
          </w:p>
        </w:tc>
        <w:tc>
          <w:tcPr>
            <w:tcW w:w="850" w:type="dxa"/>
            <w:tcBorders>
              <w:top w:val="nil"/>
              <w:left w:val="nil"/>
              <w:bottom w:val="nil"/>
              <w:right w:val="nil"/>
            </w:tcBorders>
            <w:noWrap/>
            <w:vAlign w:val="center"/>
          </w:tcPr>
          <w:p w14:paraId="078B623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1.66</w:t>
            </w:r>
          </w:p>
        </w:tc>
        <w:tc>
          <w:tcPr>
            <w:tcW w:w="863" w:type="dxa"/>
            <w:tcBorders>
              <w:top w:val="nil"/>
              <w:left w:val="nil"/>
              <w:bottom w:val="nil"/>
              <w:right w:val="nil"/>
            </w:tcBorders>
            <w:noWrap/>
            <w:vAlign w:val="center"/>
          </w:tcPr>
          <w:p w14:paraId="0943935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25.97</w:t>
            </w:r>
          </w:p>
        </w:tc>
        <w:tc>
          <w:tcPr>
            <w:tcW w:w="710" w:type="dxa"/>
            <w:tcBorders>
              <w:top w:val="nil"/>
              <w:left w:val="nil"/>
              <w:bottom w:val="nil"/>
              <w:right w:val="nil"/>
            </w:tcBorders>
            <w:noWrap/>
            <w:vAlign w:val="center"/>
          </w:tcPr>
          <w:p w14:paraId="0077AB9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0.08</w:t>
            </w:r>
          </w:p>
        </w:tc>
        <w:tc>
          <w:tcPr>
            <w:tcW w:w="810" w:type="dxa"/>
            <w:tcBorders>
              <w:top w:val="nil"/>
              <w:left w:val="nil"/>
              <w:bottom w:val="nil"/>
              <w:right w:val="nil"/>
            </w:tcBorders>
            <w:noWrap/>
            <w:vAlign w:val="center"/>
          </w:tcPr>
          <w:p w14:paraId="09FEDB4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96.92</w:t>
            </w:r>
          </w:p>
        </w:tc>
        <w:tc>
          <w:tcPr>
            <w:tcW w:w="810" w:type="dxa"/>
            <w:tcBorders>
              <w:top w:val="nil"/>
              <w:left w:val="nil"/>
              <w:bottom w:val="nil"/>
              <w:right w:val="nil"/>
            </w:tcBorders>
            <w:noWrap/>
            <w:vAlign w:val="center"/>
          </w:tcPr>
          <w:p w14:paraId="112E422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28.78</w:t>
            </w:r>
          </w:p>
        </w:tc>
      </w:tr>
      <w:tr w14:paraId="5503B8F4">
        <w:trPr>
          <w:trHeight w:val="336" w:hRule="atLeast"/>
          <w:jc w:val="center"/>
        </w:trPr>
        <w:tc>
          <w:tcPr>
            <w:tcW w:w="1436" w:type="dxa"/>
            <w:tcBorders>
              <w:top w:val="nil"/>
              <w:left w:val="nil"/>
              <w:bottom w:val="nil"/>
              <w:right w:val="nil"/>
            </w:tcBorders>
            <w:noWrap/>
            <w:vAlign w:val="center"/>
          </w:tcPr>
          <w:p w14:paraId="3D7EA9A5">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3F3F0525">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CV</w:t>
            </w:r>
          </w:p>
        </w:tc>
        <w:tc>
          <w:tcPr>
            <w:tcW w:w="801" w:type="dxa"/>
            <w:tcBorders>
              <w:top w:val="nil"/>
              <w:left w:val="nil"/>
              <w:bottom w:val="nil"/>
              <w:right w:val="nil"/>
            </w:tcBorders>
            <w:noWrap/>
            <w:vAlign w:val="center"/>
          </w:tcPr>
          <w:p w14:paraId="6FB52CF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0.01</w:t>
            </w:r>
          </w:p>
        </w:tc>
        <w:tc>
          <w:tcPr>
            <w:tcW w:w="833" w:type="dxa"/>
            <w:tcBorders>
              <w:top w:val="nil"/>
              <w:left w:val="nil"/>
              <w:bottom w:val="nil"/>
              <w:right w:val="nil"/>
            </w:tcBorders>
            <w:noWrap/>
            <w:vAlign w:val="center"/>
          </w:tcPr>
          <w:p w14:paraId="148BC9D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982" w:type="dxa"/>
            <w:tcBorders>
              <w:top w:val="nil"/>
              <w:left w:val="nil"/>
              <w:bottom w:val="nil"/>
              <w:right w:val="nil"/>
            </w:tcBorders>
            <w:noWrap/>
            <w:vAlign w:val="center"/>
          </w:tcPr>
          <w:p w14:paraId="51CC091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0.28</w:t>
            </w:r>
          </w:p>
        </w:tc>
        <w:tc>
          <w:tcPr>
            <w:tcW w:w="850" w:type="dxa"/>
            <w:tcBorders>
              <w:top w:val="nil"/>
              <w:left w:val="nil"/>
              <w:bottom w:val="nil"/>
              <w:right w:val="nil"/>
            </w:tcBorders>
            <w:noWrap/>
            <w:vAlign w:val="center"/>
          </w:tcPr>
          <w:p w14:paraId="1B86719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0.25</w:t>
            </w:r>
          </w:p>
        </w:tc>
        <w:tc>
          <w:tcPr>
            <w:tcW w:w="863" w:type="dxa"/>
            <w:tcBorders>
              <w:top w:val="nil"/>
              <w:left w:val="nil"/>
              <w:bottom w:val="nil"/>
              <w:right w:val="nil"/>
            </w:tcBorders>
            <w:noWrap/>
            <w:vAlign w:val="center"/>
          </w:tcPr>
          <w:p w14:paraId="0FC1198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12.44</w:t>
            </w:r>
          </w:p>
        </w:tc>
        <w:tc>
          <w:tcPr>
            <w:tcW w:w="710" w:type="dxa"/>
            <w:tcBorders>
              <w:top w:val="nil"/>
              <w:left w:val="nil"/>
              <w:bottom w:val="nil"/>
              <w:right w:val="nil"/>
            </w:tcBorders>
            <w:noWrap/>
            <w:vAlign w:val="center"/>
          </w:tcPr>
          <w:p w14:paraId="7DFC4DA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0.41</w:t>
            </w:r>
          </w:p>
        </w:tc>
        <w:tc>
          <w:tcPr>
            <w:tcW w:w="810" w:type="dxa"/>
            <w:tcBorders>
              <w:top w:val="nil"/>
              <w:left w:val="nil"/>
              <w:bottom w:val="nil"/>
              <w:right w:val="nil"/>
            </w:tcBorders>
            <w:noWrap/>
            <w:vAlign w:val="center"/>
          </w:tcPr>
          <w:p w14:paraId="533C70D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0.28</w:t>
            </w:r>
          </w:p>
        </w:tc>
        <w:tc>
          <w:tcPr>
            <w:tcW w:w="810" w:type="dxa"/>
            <w:tcBorders>
              <w:top w:val="nil"/>
              <w:left w:val="nil"/>
              <w:bottom w:val="nil"/>
              <w:right w:val="nil"/>
            </w:tcBorders>
            <w:noWrap/>
            <w:vAlign w:val="center"/>
          </w:tcPr>
          <w:p w14:paraId="50C29CB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0.95</w:t>
            </w:r>
          </w:p>
        </w:tc>
      </w:tr>
      <w:tr w14:paraId="7439BD8E">
        <w:trPr>
          <w:trHeight w:val="336" w:hRule="atLeast"/>
          <w:jc w:val="center"/>
        </w:trPr>
        <w:tc>
          <w:tcPr>
            <w:tcW w:w="1436" w:type="dxa"/>
            <w:tcBorders>
              <w:top w:val="nil"/>
              <w:left w:val="nil"/>
              <w:bottom w:val="nil"/>
              <w:right w:val="nil"/>
            </w:tcBorders>
            <w:noWrap/>
            <w:vAlign w:val="center"/>
          </w:tcPr>
          <w:p w14:paraId="0ADB4E9F">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Dry season</w:t>
            </w:r>
          </w:p>
        </w:tc>
        <w:tc>
          <w:tcPr>
            <w:tcW w:w="695" w:type="dxa"/>
            <w:tcBorders>
              <w:top w:val="nil"/>
              <w:left w:val="nil"/>
              <w:bottom w:val="nil"/>
              <w:right w:val="nil"/>
            </w:tcBorders>
            <w:noWrap/>
            <w:vAlign w:val="center"/>
          </w:tcPr>
          <w:p w14:paraId="1A63E568">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Max</w:t>
            </w:r>
          </w:p>
        </w:tc>
        <w:tc>
          <w:tcPr>
            <w:tcW w:w="801" w:type="dxa"/>
            <w:tcBorders>
              <w:top w:val="nil"/>
              <w:left w:val="nil"/>
              <w:bottom w:val="nil"/>
              <w:right w:val="nil"/>
            </w:tcBorders>
            <w:noWrap/>
            <w:vAlign w:val="center"/>
          </w:tcPr>
          <w:p w14:paraId="056490B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8.19</w:t>
            </w:r>
          </w:p>
        </w:tc>
        <w:tc>
          <w:tcPr>
            <w:tcW w:w="833" w:type="dxa"/>
            <w:tcBorders>
              <w:top w:val="nil"/>
              <w:left w:val="nil"/>
              <w:bottom w:val="nil"/>
              <w:right w:val="nil"/>
            </w:tcBorders>
            <w:noWrap/>
            <w:vAlign w:val="center"/>
          </w:tcPr>
          <w:p w14:paraId="7E1160D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17.59</w:t>
            </w:r>
          </w:p>
        </w:tc>
        <w:tc>
          <w:tcPr>
            <w:tcW w:w="982" w:type="dxa"/>
            <w:tcBorders>
              <w:top w:val="nil"/>
              <w:left w:val="nil"/>
              <w:bottom w:val="nil"/>
              <w:right w:val="nil"/>
            </w:tcBorders>
            <w:noWrap/>
            <w:vAlign w:val="center"/>
          </w:tcPr>
          <w:p w14:paraId="7BBD5BE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987.8</w:t>
            </w:r>
          </w:p>
        </w:tc>
        <w:tc>
          <w:tcPr>
            <w:tcW w:w="850" w:type="dxa"/>
            <w:tcBorders>
              <w:top w:val="nil"/>
              <w:left w:val="nil"/>
              <w:bottom w:val="nil"/>
              <w:right w:val="nil"/>
            </w:tcBorders>
            <w:noWrap/>
            <w:vAlign w:val="center"/>
          </w:tcPr>
          <w:p w14:paraId="2A7B2BC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8.10</w:t>
            </w:r>
          </w:p>
        </w:tc>
        <w:tc>
          <w:tcPr>
            <w:tcW w:w="863" w:type="dxa"/>
            <w:tcBorders>
              <w:top w:val="nil"/>
              <w:left w:val="nil"/>
              <w:bottom w:val="nil"/>
              <w:right w:val="nil"/>
            </w:tcBorders>
            <w:noWrap/>
            <w:vAlign w:val="center"/>
          </w:tcPr>
          <w:p w14:paraId="524BEF3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69.18</w:t>
            </w:r>
          </w:p>
        </w:tc>
        <w:tc>
          <w:tcPr>
            <w:tcW w:w="710" w:type="dxa"/>
            <w:tcBorders>
              <w:top w:val="nil"/>
              <w:left w:val="nil"/>
              <w:bottom w:val="nil"/>
              <w:right w:val="nil"/>
            </w:tcBorders>
            <w:noWrap/>
            <w:vAlign w:val="center"/>
          </w:tcPr>
          <w:p w14:paraId="46254DC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0.44</w:t>
            </w:r>
          </w:p>
        </w:tc>
        <w:tc>
          <w:tcPr>
            <w:tcW w:w="810" w:type="dxa"/>
            <w:tcBorders>
              <w:top w:val="nil"/>
              <w:left w:val="nil"/>
              <w:bottom w:val="nil"/>
              <w:right w:val="nil"/>
            </w:tcBorders>
            <w:noWrap/>
            <w:vAlign w:val="center"/>
          </w:tcPr>
          <w:p w14:paraId="20268120">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641.8</w:t>
            </w:r>
          </w:p>
        </w:tc>
        <w:tc>
          <w:tcPr>
            <w:tcW w:w="810" w:type="dxa"/>
            <w:tcBorders>
              <w:top w:val="nil"/>
              <w:left w:val="nil"/>
              <w:bottom w:val="nil"/>
              <w:right w:val="nil"/>
            </w:tcBorders>
            <w:noWrap/>
            <w:vAlign w:val="center"/>
          </w:tcPr>
          <w:p w14:paraId="00345F5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178.09</w:t>
            </w:r>
          </w:p>
        </w:tc>
      </w:tr>
      <w:tr w14:paraId="7EDCA2B8">
        <w:trPr>
          <w:trHeight w:val="336" w:hRule="atLeast"/>
          <w:jc w:val="center"/>
        </w:trPr>
        <w:tc>
          <w:tcPr>
            <w:tcW w:w="1436" w:type="dxa"/>
            <w:tcBorders>
              <w:top w:val="nil"/>
              <w:left w:val="nil"/>
              <w:bottom w:val="nil"/>
              <w:right w:val="nil"/>
            </w:tcBorders>
            <w:noWrap/>
            <w:vAlign w:val="center"/>
          </w:tcPr>
          <w:p w14:paraId="6629D896">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n=65</w:t>
            </w:r>
            <w:r>
              <w:rPr>
                <w:rFonts w:hint="eastAsia" w:ascii="Times New Roman Regular" w:hAnsi="Times New Roman Regular" w:eastAsia="宋体" w:cs="Times New Roman Regular"/>
                <w:color w:val="0000FF"/>
                <w:kern w:val="0"/>
                <w:sz w:val="18"/>
                <w:szCs w:val="18"/>
                <w:lang w:bidi="ar"/>
              </w:rPr>
              <w:t>0</w:t>
            </w:r>
          </w:p>
        </w:tc>
        <w:tc>
          <w:tcPr>
            <w:tcW w:w="695" w:type="dxa"/>
            <w:tcBorders>
              <w:top w:val="nil"/>
              <w:left w:val="nil"/>
              <w:bottom w:val="nil"/>
              <w:right w:val="nil"/>
            </w:tcBorders>
            <w:noWrap/>
            <w:vAlign w:val="center"/>
          </w:tcPr>
          <w:p w14:paraId="6E66DF36">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Min</w:t>
            </w:r>
          </w:p>
        </w:tc>
        <w:tc>
          <w:tcPr>
            <w:tcW w:w="801" w:type="dxa"/>
            <w:tcBorders>
              <w:top w:val="nil"/>
              <w:left w:val="nil"/>
              <w:bottom w:val="nil"/>
              <w:right w:val="nil"/>
            </w:tcBorders>
            <w:noWrap/>
            <w:vAlign w:val="center"/>
          </w:tcPr>
          <w:p w14:paraId="7B8E09F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7.04</w:t>
            </w:r>
          </w:p>
        </w:tc>
        <w:tc>
          <w:tcPr>
            <w:tcW w:w="833" w:type="dxa"/>
            <w:tcBorders>
              <w:top w:val="nil"/>
              <w:left w:val="nil"/>
              <w:bottom w:val="nil"/>
              <w:right w:val="nil"/>
            </w:tcBorders>
            <w:noWrap/>
            <w:vAlign w:val="center"/>
          </w:tcPr>
          <w:p w14:paraId="1320F93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14.44</w:t>
            </w:r>
          </w:p>
        </w:tc>
        <w:tc>
          <w:tcPr>
            <w:tcW w:w="982" w:type="dxa"/>
            <w:tcBorders>
              <w:top w:val="nil"/>
              <w:left w:val="nil"/>
              <w:bottom w:val="nil"/>
              <w:right w:val="nil"/>
            </w:tcBorders>
            <w:noWrap/>
            <w:vAlign w:val="center"/>
          </w:tcPr>
          <w:p w14:paraId="7305542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417.6</w:t>
            </w:r>
          </w:p>
        </w:tc>
        <w:tc>
          <w:tcPr>
            <w:tcW w:w="850" w:type="dxa"/>
            <w:tcBorders>
              <w:top w:val="nil"/>
              <w:left w:val="nil"/>
              <w:bottom w:val="nil"/>
              <w:right w:val="nil"/>
            </w:tcBorders>
            <w:noWrap/>
            <w:vAlign w:val="center"/>
          </w:tcPr>
          <w:p w14:paraId="2E7B07B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2.68</w:t>
            </w:r>
          </w:p>
        </w:tc>
        <w:tc>
          <w:tcPr>
            <w:tcW w:w="863" w:type="dxa"/>
            <w:tcBorders>
              <w:top w:val="nil"/>
              <w:left w:val="nil"/>
              <w:bottom w:val="nil"/>
              <w:right w:val="nil"/>
            </w:tcBorders>
            <w:noWrap/>
            <w:vAlign w:val="center"/>
          </w:tcPr>
          <w:p w14:paraId="40E4729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-59.14</w:t>
            </w:r>
          </w:p>
        </w:tc>
        <w:tc>
          <w:tcPr>
            <w:tcW w:w="710" w:type="dxa"/>
            <w:tcBorders>
              <w:top w:val="nil"/>
              <w:left w:val="nil"/>
              <w:bottom w:val="nil"/>
              <w:right w:val="nil"/>
            </w:tcBorders>
            <w:noWrap/>
            <w:vAlign w:val="center"/>
          </w:tcPr>
          <w:p w14:paraId="170BF22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0.132</w:t>
            </w:r>
          </w:p>
        </w:tc>
        <w:tc>
          <w:tcPr>
            <w:tcW w:w="810" w:type="dxa"/>
            <w:tcBorders>
              <w:top w:val="nil"/>
              <w:left w:val="nil"/>
              <w:bottom w:val="nil"/>
              <w:right w:val="nil"/>
            </w:tcBorders>
            <w:noWrap/>
            <w:vAlign w:val="center"/>
          </w:tcPr>
          <w:p w14:paraId="405594F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267.8</w:t>
            </w:r>
          </w:p>
        </w:tc>
        <w:tc>
          <w:tcPr>
            <w:tcW w:w="810" w:type="dxa"/>
            <w:tcBorders>
              <w:top w:val="nil"/>
              <w:left w:val="nil"/>
              <w:bottom w:val="nil"/>
              <w:right w:val="nil"/>
            </w:tcBorders>
            <w:noWrap/>
            <w:vAlign w:val="center"/>
          </w:tcPr>
          <w:p w14:paraId="2E40968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5.19</w:t>
            </w:r>
          </w:p>
        </w:tc>
      </w:tr>
      <w:tr w14:paraId="0AED29C5">
        <w:trPr>
          <w:trHeight w:val="336" w:hRule="atLeast"/>
          <w:jc w:val="center"/>
        </w:trPr>
        <w:tc>
          <w:tcPr>
            <w:tcW w:w="1436" w:type="dxa"/>
            <w:tcBorders>
              <w:top w:val="nil"/>
              <w:left w:val="nil"/>
              <w:bottom w:val="nil"/>
              <w:right w:val="nil"/>
            </w:tcBorders>
            <w:noWrap/>
            <w:vAlign w:val="center"/>
          </w:tcPr>
          <w:p w14:paraId="715B6494">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5A2E65CB">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Mean</w:t>
            </w:r>
          </w:p>
        </w:tc>
        <w:tc>
          <w:tcPr>
            <w:tcW w:w="801" w:type="dxa"/>
            <w:tcBorders>
              <w:top w:val="nil"/>
              <w:left w:val="nil"/>
              <w:bottom w:val="nil"/>
              <w:right w:val="nil"/>
            </w:tcBorders>
            <w:noWrap/>
            <w:vAlign w:val="center"/>
          </w:tcPr>
          <w:p w14:paraId="4104097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7.35</w:t>
            </w:r>
          </w:p>
        </w:tc>
        <w:tc>
          <w:tcPr>
            <w:tcW w:w="833" w:type="dxa"/>
            <w:tcBorders>
              <w:top w:val="nil"/>
              <w:left w:val="nil"/>
              <w:bottom w:val="nil"/>
              <w:right w:val="nil"/>
            </w:tcBorders>
            <w:noWrap/>
            <w:vAlign w:val="center"/>
          </w:tcPr>
          <w:p w14:paraId="52EC099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15.49</w:t>
            </w:r>
          </w:p>
        </w:tc>
        <w:tc>
          <w:tcPr>
            <w:tcW w:w="982" w:type="dxa"/>
            <w:tcBorders>
              <w:top w:val="nil"/>
              <w:left w:val="nil"/>
              <w:bottom w:val="nil"/>
              <w:right w:val="nil"/>
            </w:tcBorders>
            <w:noWrap/>
            <w:vAlign w:val="center"/>
          </w:tcPr>
          <w:p w14:paraId="4438231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661.79</w:t>
            </w:r>
          </w:p>
        </w:tc>
        <w:tc>
          <w:tcPr>
            <w:tcW w:w="850" w:type="dxa"/>
            <w:tcBorders>
              <w:top w:val="nil"/>
              <w:left w:val="nil"/>
              <w:bottom w:val="nil"/>
              <w:right w:val="nil"/>
            </w:tcBorders>
            <w:noWrap/>
            <w:vAlign w:val="center"/>
          </w:tcPr>
          <w:p w14:paraId="38A72FA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6.414</w:t>
            </w:r>
          </w:p>
        </w:tc>
        <w:tc>
          <w:tcPr>
            <w:tcW w:w="863" w:type="dxa"/>
            <w:tcBorders>
              <w:top w:val="nil"/>
              <w:left w:val="nil"/>
              <w:bottom w:val="nil"/>
              <w:right w:val="nil"/>
            </w:tcBorders>
            <w:noWrap/>
            <w:vAlign w:val="center"/>
          </w:tcPr>
          <w:p w14:paraId="00DAFA2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0.52</w:t>
            </w:r>
          </w:p>
        </w:tc>
        <w:tc>
          <w:tcPr>
            <w:tcW w:w="710" w:type="dxa"/>
            <w:tcBorders>
              <w:top w:val="nil"/>
              <w:left w:val="nil"/>
              <w:bottom w:val="nil"/>
              <w:right w:val="nil"/>
            </w:tcBorders>
            <w:noWrap/>
            <w:vAlign w:val="center"/>
          </w:tcPr>
          <w:p w14:paraId="6BBB424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0.27</w:t>
            </w:r>
          </w:p>
        </w:tc>
        <w:tc>
          <w:tcPr>
            <w:tcW w:w="810" w:type="dxa"/>
            <w:tcBorders>
              <w:top w:val="nil"/>
              <w:left w:val="nil"/>
              <w:bottom w:val="nil"/>
              <w:right w:val="nil"/>
            </w:tcBorders>
            <w:noWrap/>
            <w:vAlign w:val="center"/>
          </w:tcPr>
          <w:p w14:paraId="09EB23D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429.90</w:t>
            </w:r>
          </w:p>
        </w:tc>
        <w:tc>
          <w:tcPr>
            <w:tcW w:w="810" w:type="dxa"/>
            <w:tcBorders>
              <w:top w:val="nil"/>
              <w:left w:val="nil"/>
              <w:bottom w:val="nil"/>
              <w:right w:val="nil"/>
            </w:tcBorders>
            <w:noWrap/>
            <w:vAlign w:val="center"/>
          </w:tcPr>
          <w:p w14:paraId="1CC9F5F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37.75</w:t>
            </w:r>
          </w:p>
        </w:tc>
      </w:tr>
      <w:tr w14:paraId="106B694E">
        <w:trPr>
          <w:trHeight w:val="336" w:hRule="atLeast"/>
          <w:jc w:val="center"/>
        </w:trPr>
        <w:tc>
          <w:tcPr>
            <w:tcW w:w="1436" w:type="dxa"/>
            <w:tcBorders>
              <w:top w:val="nil"/>
              <w:left w:val="nil"/>
              <w:bottom w:val="nil"/>
              <w:right w:val="nil"/>
            </w:tcBorders>
            <w:noWrap/>
            <w:vAlign w:val="center"/>
          </w:tcPr>
          <w:p w14:paraId="476830C6">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0323FD57">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SD</w:t>
            </w:r>
          </w:p>
        </w:tc>
        <w:tc>
          <w:tcPr>
            <w:tcW w:w="801" w:type="dxa"/>
            <w:tcBorders>
              <w:top w:val="nil"/>
              <w:left w:val="nil"/>
              <w:bottom w:val="nil"/>
              <w:right w:val="nil"/>
            </w:tcBorders>
            <w:noWrap/>
            <w:vAlign w:val="center"/>
          </w:tcPr>
          <w:p w14:paraId="16BAAB2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0.44</w:t>
            </w:r>
          </w:p>
        </w:tc>
        <w:tc>
          <w:tcPr>
            <w:tcW w:w="833" w:type="dxa"/>
            <w:tcBorders>
              <w:top w:val="nil"/>
              <w:left w:val="nil"/>
              <w:bottom w:val="nil"/>
              <w:right w:val="nil"/>
            </w:tcBorders>
            <w:noWrap/>
            <w:vAlign w:val="center"/>
          </w:tcPr>
          <w:p w14:paraId="1245BC8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0.69</w:t>
            </w:r>
          </w:p>
        </w:tc>
        <w:tc>
          <w:tcPr>
            <w:tcW w:w="982" w:type="dxa"/>
            <w:tcBorders>
              <w:top w:val="nil"/>
              <w:left w:val="nil"/>
              <w:bottom w:val="nil"/>
              <w:right w:val="nil"/>
            </w:tcBorders>
            <w:noWrap/>
            <w:vAlign w:val="center"/>
          </w:tcPr>
          <w:p w14:paraId="185DABE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170.65</w:t>
            </w:r>
          </w:p>
        </w:tc>
        <w:tc>
          <w:tcPr>
            <w:tcW w:w="850" w:type="dxa"/>
            <w:tcBorders>
              <w:top w:val="nil"/>
              <w:left w:val="nil"/>
              <w:bottom w:val="nil"/>
              <w:right w:val="nil"/>
            </w:tcBorders>
            <w:noWrap/>
            <w:vAlign w:val="center"/>
          </w:tcPr>
          <w:p w14:paraId="5C99A81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1.24</w:t>
            </w:r>
          </w:p>
        </w:tc>
        <w:tc>
          <w:tcPr>
            <w:tcW w:w="863" w:type="dxa"/>
            <w:tcBorders>
              <w:top w:val="nil"/>
              <w:left w:val="nil"/>
              <w:bottom w:val="nil"/>
              <w:right w:val="nil"/>
            </w:tcBorders>
            <w:noWrap/>
            <w:vAlign w:val="center"/>
          </w:tcPr>
          <w:p w14:paraId="0DD28A5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29.61</w:t>
            </w:r>
          </w:p>
        </w:tc>
        <w:tc>
          <w:tcPr>
            <w:tcW w:w="710" w:type="dxa"/>
            <w:tcBorders>
              <w:top w:val="nil"/>
              <w:left w:val="nil"/>
              <w:bottom w:val="nil"/>
              <w:right w:val="nil"/>
            </w:tcBorders>
            <w:noWrap/>
            <w:vAlign w:val="center"/>
          </w:tcPr>
          <w:p w14:paraId="6113165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0.09</w:t>
            </w:r>
          </w:p>
        </w:tc>
        <w:tc>
          <w:tcPr>
            <w:tcW w:w="810" w:type="dxa"/>
            <w:tcBorders>
              <w:top w:val="nil"/>
              <w:left w:val="nil"/>
              <w:bottom w:val="nil"/>
              <w:right w:val="nil"/>
            </w:tcBorders>
            <w:noWrap/>
            <w:vAlign w:val="center"/>
          </w:tcPr>
          <w:p w14:paraId="344CA11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111.16</w:t>
            </w:r>
          </w:p>
        </w:tc>
        <w:tc>
          <w:tcPr>
            <w:tcW w:w="810" w:type="dxa"/>
            <w:tcBorders>
              <w:top w:val="nil"/>
              <w:left w:val="nil"/>
              <w:bottom w:val="nil"/>
              <w:right w:val="nil"/>
            </w:tcBorders>
            <w:noWrap/>
            <w:vAlign w:val="center"/>
          </w:tcPr>
          <w:p w14:paraId="7ACC732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33.13</w:t>
            </w:r>
          </w:p>
        </w:tc>
      </w:tr>
      <w:tr w14:paraId="37BB7922">
        <w:trPr>
          <w:trHeight w:val="336" w:hRule="atLeast"/>
          <w:jc w:val="center"/>
        </w:trPr>
        <w:tc>
          <w:tcPr>
            <w:tcW w:w="1436" w:type="dxa"/>
            <w:tcBorders>
              <w:top w:val="nil"/>
              <w:left w:val="nil"/>
              <w:bottom w:val="nil"/>
              <w:right w:val="nil"/>
            </w:tcBorders>
            <w:noWrap/>
            <w:vAlign w:val="center"/>
          </w:tcPr>
          <w:p w14:paraId="03B394CE">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1B60508B">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CV</w:t>
            </w:r>
          </w:p>
        </w:tc>
        <w:tc>
          <w:tcPr>
            <w:tcW w:w="801" w:type="dxa"/>
            <w:tcBorders>
              <w:top w:val="nil"/>
              <w:left w:val="nil"/>
              <w:bottom w:val="nil"/>
              <w:right w:val="nil"/>
            </w:tcBorders>
            <w:noWrap/>
            <w:vAlign w:val="center"/>
          </w:tcPr>
          <w:p w14:paraId="58FEB6B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0.06</w:t>
            </w:r>
          </w:p>
        </w:tc>
        <w:tc>
          <w:tcPr>
            <w:tcW w:w="833" w:type="dxa"/>
            <w:tcBorders>
              <w:top w:val="nil"/>
              <w:left w:val="nil"/>
              <w:bottom w:val="nil"/>
              <w:right w:val="nil"/>
            </w:tcBorders>
            <w:noWrap/>
            <w:vAlign w:val="center"/>
          </w:tcPr>
          <w:p w14:paraId="3EB3881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982" w:type="dxa"/>
            <w:tcBorders>
              <w:top w:val="nil"/>
              <w:left w:val="nil"/>
              <w:bottom w:val="nil"/>
              <w:right w:val="nil"/>
            </w:tcBorders>
            <w:noWrap/>
            <w:vAlign w:val="center"/>
          </w:tcPr>
          <w:p w14:paraId="08794B8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0.26</w:t>
            </w:r>
          </w:p>
        </w:tc>
        <w:tc>
          <w:tcPr>
            <w:tcW w:w="850" w:type="dxa"/>
            <w:tcBorders>
              <w:top w:val="nil"/>
              <w:left w:val="nil"/>
              <w:bottom w:val="nil"/>
              <w:right w:val="nil"/>
            </w:tcBorders>
            <w:noWrap/>
            <w:vAlign w:val="center"/>
          </w:tcPr>
          <w:p w14:paraId="30542E9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0.19</w:t>
            </w:r>
          </w:p>
        </w:tc>
        <w:tc>
          <w:tcPr>
            <w:tcW w:w="863" w:type="dxa"/>
            <w:tcBorders>
              <w:top w:val="nil"/>
              <w:left w:val="nil"/>
              <w:bottom w:val="nil"/>
              <w:right w:val="nil"/>
            </w:tcBorders>
            <w:noWrap/>
            <w:vAlign w:val="center"/>
          </w:tcPr>
          <w:p w14:paraId="288C7D4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57.21</w:t>
            </w:r>
          </w:p>
        </w:tc>
        <w:tc>
          <w:tcPr>
            <w:tcW w:w="710" w:type="dxa"/>
            <w:tcBorders>
              <w:top w:val="nil"/>
              <w:left w:val="nil"/>
              <w:bottom w:val="nil"/>
              <w:right w:val="nil"/>
            </w:tcBorders>
            <w:noWrap/>
            <w:vAlign w:val="center"/>
          </w:tcPr>
          <w:p w14:paraId="30AEAA2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0.34</w:t>
            </w:r>
          </w:p>
        </w:tc>
        <w:tc>
          <w:tcPr>
            <w:tcW w:w="810" w:type="dxa"/>
            <w:tcBorders>
              <w:top w:val="nil"/>
              <w:left w:val="nil"/>
              <w:bottom w:val="nil"/>
              <w:right w:val="nil"/>
            </w:tcBorders>
            <w:noWrap/>
            <w:vAlign w:val="center"/>
          </w:tcPr>
          <w:p w14:paraId="37C2EEE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0.26</w:t>
            </w:r>
          </w:p>
        </w:tc>
        <w:tc>
          <w:tcPr>
            <w:tcW w:w="810" w:type="dxa"/>
            <w:tcBorders>
              <w:top w:val="nil"/>
              <w:left w:val="nil"/>
              <w:bottom w:val="nil"/>
              <w:right w:val="nil"/>
            </w:tcBorders>
            <w:noWrap/>
            <w:vAlign w:val="center"/>
          </w:tcPr>
          <w:p w14:paraId="4C536E4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0.88</w:t>
            </w:r>
          </w:p>
        </w:tc>
      </w:tr>
      <w:tr w14:paraId="65C4F1FB">
        <w:trPr>
          <w:trHeight w:val="336" w:hRule="atLeast"/>
          <w:jc w:val="center"/>
        </w:trPr>
        <w:tc>
          <w:tcPr>
            <w:tcW w:w="1436" w:type="dxa"/>
            <w:tcBorders>
              <w:top w:val="nil"/>
              <w:left w:val="nil"/>
              <w:bottom w:val="nil"/>
              <w:right w:val="nil"/>
            </w:tcBorders>
            <w:noWrap/>
            <w:vAlign w:val="center"/>
          </w:tcPr>
          <w:p w14:paraId="2E22DC2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Wet season</w:t>
            </w:r>
          </w:p>
        </w:tc>
        <w:tc>
          <w:tcPr>
            <w:tcW w:w="695" w:type="dxa"/>
            <w:tcBorders>
              <w:top w:val="nil"/>
              <w:left w:val="nil"/>
              <w:bottom w:val="nil"/>
              <w:right w:val="nil"/>
            </w:tcBorders>
            <w:noWrap/>
            <w:vAlign w:val="center"/>
          </w:tcPr>
          <w:p w14:paraId="0A65877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Max</w:t>
            </w:r>
          </w:p>
        </w:tc>
        <w:tc>
          <w:tcPr>
            <w:tcW w:w="801" w:type="dxa"/>
            <w:tcBorders>
              <w:top w:val="nil"/>
              <w:left w:val="nil"/>
              <w:bottom w:val="nil"/>
              <w:right w:val="nil"/>
            </w:tcBorders>
            <w:noWrap/>
            <w:vAlign w:val="center"/>
          </w:tcPr>
          <w:p w14:paraId="740B716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8.21</w:t>
            </w:r>
          </w:p>
        </w:tc>
        <w:tc>
          <w:tcPr>
            <w:tcW w:w="833" w:type="dxa"/>
            <w:tcBorders>
              <w:top w:val="nil"/>
              <w:left w:val="nil"/>
              <w:bottom w:val="nil"/>
              <w:right w:val="nil"/>
            </w:tcBorders>
            <w:noWrap/>
            <w:vAlign w:val="center"/>
          </w:tcPr>
          <w:p w14:paraId="760AF9B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18.88</w:t>
            </w:r>
          </w:p>
        </w:tc>
        <w:tc>
          <w:tcPr>
            <w:tcW w:w="982" w:type="dxa"/>
            <w:tcBorders>
              <w:top w:val="nil"/>
              <w:left w:val="nil"/>
              <w:bottom w:val="nil"/>
              <w:right w:val="nil"/>
            </w:tcBorders>
            <w:noWrap/>
            <w:vAlign w:val="center"/>
          </w:tcPr>
          <w:p w14:paraId="1E1C198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872.8</w:t>
            </w:r>
          </w:p>
        </w:tc>
        <w:tc>
          <w:tcPr>
            <w:tcW w:w="850" w:type="dxa"/>
            <w:tcBorders>
              <w:top w:val="nil"/>
              <w:left w:val="nil"/>
              <w:bottom w:val="nil"/>
              <w:right w:val="nil"/>
            </w:tcBorders>
            <w:noWrap/>
            <w:vAlign w:val="center"/>
          </w:tcPr>
          <w:p w14:paraId="370C6E1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8.54</w:t>
            </w:r>
          </w:p>
        </w:tc>
        <w:tc>
          <w:tcPr>
            <w:tcW w:w="863" w:type="dxa"/>
            <w:tcBorders>
              <w:top w:val="nil"/>
              <w:left w:val="nil"/>
              <w:bottom w:val="nil"/>
              <w:right w:val="nil"/>
            </w:tcBorders>
            <w:noWrap/>
            <w:vAlign w:val="center"/>
          </w:tcPr>
          <w:p w14:paraId="72E75F1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56.4</w:t>
            </w:r>
          </w:p>
        </w:tc>
        <w:tc>
          <w:tcPr>
            <w:tcW w:w="710" w:type="dxa"/>
            <w:tcBorders>
              <w:top w:val="nil"/>
              <w:left w:val="nil"/>
              <w:bottom w:val="nil"/>
              <w:right w:val="nil"/>
            </w:tcBorders>
            <w:noWrap/>
            <w:vAlign w:val="center"/>
          </w:tcPr>
          <w:p w14:paraId="3137B1D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0.37</w:t>
            </w:r>
          </w:p>
        </w:tc>
        <w:tc>
          <w:tcPr>
            <w:tcW w:w="810" w:type="dxa"/>
            <w:tcBorders>
              <w:top w:val="nil"/>
              <w:left w:val="nil"/>
              <w:bottom w:val="nil"/>
              <w:right w:val="nil"/>
            </w:tcBorders>
            <w:noWrap/>
            <w:vAlign w:val="center"/>
          </w:tcPr>
          <w:p w14:paraId="40ADB59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569</w:t>
            </w:r>
          </w:p>
        </w:tc>
        <w:tc>
          <w:tcPr>
            <w:tcW w:w="810" w:type="dxa"/>
            <w:tcBorders>
              <w:top w:val="nil"/>
              <w:left w:val="nil"/>
              <w:bottom w:val="nil"/>
              <w:right w:val="nil"/>
            </w:tcBorders>
            <w:noWrap/>
            <w:vAlign w:val="center"/>
          </w:tcPr>
          <w:p w14:paraId="631CDFD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80.37</w:t>
            </w:r>
          </w:p>
        </w:tc>
      </w:tr>
      <w:tr w14:paraId="2525DEAE">
        <w:trPr>
          <w:trHeight w:val="336" w:hRule="atLeast"/>
          <w:jc w:val="center"/>
        </w:trPr>
        <w:tc>
          <w:tcPr>
            <w:tcW w:w="1436" w:type="dxa"/>
            <w:tcBorders>
              <w:top w:val="nil"/>
              <w:left w:val="nil"/>
              <w:bottom w:val="nil"/>
              <w:right w:val="nil"/>
            </w:tcBorders>
            <w:noWrap/>
            <w:vAlign w:val="center"/>
          </w:tcPr>
          <w:p w14:paraId="4F841C13">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n=50</w:t>
            </w:r>
            <w:r>
              <w:rPr>
                <w:rFonts w:hint="eastAsia" w:ascii="Times New Roman Regular" w:hAnsi="Times New Roman Regular" w:eastAsia="宋体" w:cs="Times New Roman Regular"/>
                <w:color w:val="0000FF"/>
                <w:kern w:val="0"/>
                <w:sz w:val="18"/>
                <w:szCs w:val="18"/>
                <w:lang w:bidi="ar"/>
              </w:rPr>
              <w:t>0</w:t>
            </w:r>
          </w:p>
        </w:tc>
        <w:tc>
          <w:tcPr>
            <w:tcW w:w="695" w:type="dxa"/>
            <w:tcBorders>
              <w:top w:val="nil"/>
              <w:left w:val="nil"/>
              <w:bottom w:val="nil"/>
              <w:right w:val="nil"/>
            </w:tcBorders>
            <w:noWrap/>
            <w:vAlign w:val="center"/>
          </w:tcPr>
          <w:p w14:paraId="1A35E257">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Min</w:t>
            </w:r>
          </w:p>
        </w:tc>
        <w:tc>
          <w:tcPr>
            <w:tcW w:w="801" w:type="dxa"/>
            <w:tcBorders>
              <w:top w:val="nil"/>
              <w:left w:val="nil"/>
              <w:bottom w:val="nil"/>
              <w:right w:val="nil"/>
            </w:tcBorders>
            <w:noWrap/>
            <w:vAlign w:val="center"/>
          </w:tcPr>
          <w:p w14:paraId="2038EA7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6.31</w:t>
            </w:r>
          </w:p>
        </w:tc>
        <w:tc>
          <w:tcPr>
            <w:tcW w:w="833" w:type="dxa"/>
            <w:tcBorders>
              <w:top w:val="nil"/>
              <w:left w:val="nil"/>
              <w:bottom w:val="nil"/>
              <w:right w:val="nil"/>
            </w:tcBorders>
            <w:noWrap/>
            <w:vAlign w:val="center"/>
          </w:tcPr>
          <w:p w14:paraId="428890C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16.12</w:t>
            </w:r>
          </w:p>
        </w:tc>
        <w:tc>
          <w:tcPr>
            <w:tcW w:w="982" w:type="dxa"/>
            <w:tcBorders>
              <w:top w:val="nil"/>
              <w:left w:val="nil"/>
              <w:bottom w:val="nil"/>
              <w:right w:val="nil"/>
            </w:tcBorders>
            <w:noWrap/>
            <w:vAlign w:val="center"/>
          </w:tcPr>
          <w:p w14:paraId="0C280F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395.8</w:t>
            </w:r>
          </w:p>
        </w:tc>
        <w:tc>
          <w:tcPr>
            <w:tcW w:w="850" w:type="dxa"/>
            <w:tcBorders>
              <w:top w:val="nil"/>
              <w:left w:val="nil"/>
              <w:bottom w:val="nil"/>
              <w:right w:val="nil"/>
            </w:tcBorders>
            <w:noWrap/>
            <w:vAlign w:val="center"/>
          </w:tcPr>
          <w:p w14:paraId="77D5FB8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5.34</w:t>
            </w:r>
          </w:p>
        </w:tc>
        <w:tc>
          <w:tcPr>
            <w:tcW w:w="863" w:type="dxa"/>
            <w:tcBorders>
              <w:top w:val="nil"/>
              <w:left w:val="nil"/>
              <w:bottom w:val="nil"/>
              <w:right w:val="nil"/>
            </w:tcBorders>
            <w:noWrap/>
            <w:vAlign w:val="center"/>
          </w:tcPr>
          <w:p w14:paraId="671F3E6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-77.64</w:t>
            </w:r>
          </w:p>
        </w:tc>
        <w:tc>
          <w:tcPr>
            <w:tcW w:w="710" w:type="dxa"/>
            <w:tcBorders>
              <w:top w:val="nil"/>
              <w:left w:val="nil"/>
              <w:bottom w:val="nil"/>
              <w:right w:val="nil"/>
            </w:tcBorders>
            <w:noWrap/>
            <w:vAlign w:val="center"/>
          </w:tcPr>
          <w:p w14:paraId="34AA305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0.13</w:t>
            </w:r>
          </w:p>
        </w:tc>
        <w:tc>
          <w:tcPr>
            <w:tcW w:w="810" w:type="dxa"/>
            <w:tcBorders>
              <w:top w:val="nil"/>
              <w:left w:val="nil"/>
              <w:bottom w:val="nil"/>
              <w:right w:val="nil"/>
            </w:tcBorders>
            <w:noWrap/>
            <w:vAlign w:val="center"/>
          </w:tcPr>
          <w:p w14:paraId="000E41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257.6</w:t>
            </w:r>
          </w:p>
        </w:tc>
        <w:tc>
          <w:tcPr>
            <w:tcW w:w="810" w:type="dxa"/>
            <w:tcBorders>
              <w:top w:val="nil"/>
              <w:left w:val="nil"/>
              <w:bottom w:val="nil"/>
              <w:right w:val="nil"/>
            </w:tcBorders>
            <w:noWrap/>
            <w:vAlign w:val="center"/>
          </w:tcPr>
          <w:p w14:paraId="3DE213F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8.47</w:t>
            </w:r>
          </w:p>
        </w:tc>
      </w:tr>
      <w:tr w14:paraId="1C68ED88">
        <w:trPr>
          <w:trHeight w:val="336" w:hRule="atLeast"/>
          <w:jc w:val="center"/>
        </w:trPr>
        <w:tc>
          <w:tcPr>
            <w:tcW w:w="1436" w:type="dxa"/>
            <w:tcBorders>
              <w:top w:val="nil"/>
              <w:left w:val="nil"/>
              <w:bottom w:val="nil"/>
              <w:right w:val="nil"/>
            </w:tcBorders>
            <w:noWrap/>
            <w:vAlign w:val="center"/>
          </w:tcPr>
          <w:p w14:paraId="38DC6D70">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7B5F2C50">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Mean</w:t>
            </w:r>
          </w:p>
        </w:tc>
        <w:tc>
          <w:tcPr>
            <w:tcW w:w="801" w:type="dxa"/>
            <w:tcBorders>
              <w:top w:val="nil"/>
              <w:left w:val="nil"/>
              <w:bottom w:val="nil"/>
              <w:right w:val="nil"/>
            </w:tcBorders>
            <w:noWrap/>
            <w:vAlign w:val="center"/>
          </w:tcPr>
          <w:p w14:paraId="0D33F5F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7.38</w:t>
            </w:r>
          </w:p>
        </w:tc>
        <w:tc>
          <w:tcPr>
            <w:tcW w:w="833" w:type="dxa"/>
            <w:tcBorders>
              <w:top w:val="nil"/>
              <w:left w:val="nil"/>
              <w:bottom w:val="nil"/>
              <w:right w:val="nil"/>
            </w:tcBorders>
            <w:noWrap/>
            <w:vAlign w:val="center"/>
          </w:tcPr>
          <w:p w14:paraId="1D6FFD2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16.93</w:t>
            </w:r>
          </w:p>
        </w:tc>
        <w:tc>
          <w:tcPr>
            <w:tcW w:w="982" w:type="dxa"/>
            <w:tcBorders>
              <w:top w:val="nil"/>
              <w:left w:val="nil"/>
              <w:bottom w:val="nil"/>
              <w:right w:val="nil"/>
            </w:tcBorders>
            <w:noWrap/>
            <w:vAlign w:val="center"/>
          </w:tcPr>
          <w:p w14:paraId="6C4F23F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535.7</w:t>
            </w:r>
          </w:p>
        </w:tc>
        <w:tc>
          <w:tcPr>
            <w:tcW w:w="850" w:type="dxa"/>
            <w:tcBorders>
              <w:top w:val="nil"/>
              <w:left w:val="nil"/>
              <w:bottom w:val="nil"/>
              <w:right w:val="nil"/>
            </w:tcBorders>
            <w:noWrap/>
            <w:vAlign w:val="center"/>
          </w:tcPr>
          <w:p w14:paraId="3322DAE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7.06</w:t>
            </w:r>
          </w:p>
        </w:tc>
        <w:tc>
          <w:tcPr>
            <w:tcW w:w="863" w:type="dxa"/>
            <w:tcBorders>
              <w:top w:val="nil"/>
              <w:left w:val="nil"/>
              <w:bottom w:val="nil"/>
              <w:right w:val="nil"/>
            </w:tcBorders>
            <w:noWrap/>
            <w:vAlign w:val="center"/>
          </w:tcPr>
          <w:p w14:paraId="5B34774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13.75</w:t>
            </w:r>
          </w:p>
        </w:tc>
        <w:tc>
          <w:tcPr>
            <w:tcW w:w="710" w:type="dxa"/>
            <w:tcBorders>
              <w:top w:val="nil"/>
              <w:left w:val="nil"/>
              <w:bottom w:val="nil"/>
              <w:right w:val="nil"/>
            </w:tcBorders>
            <w:noWrap/>
            <w:vAlign w:val="center"/>
          </w:tcPr>
          <w:p w14:paraId="06CFE05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0.20</w:t>
            </w:r>
          </w:p>
        </w:tc>
        <w:tc>
          <w:tcPr>
            <w:tcW w:w="810" w:type="dxa"/>
            <w:tcBorders>
              <w:top w:val="nil"/>
              <w:left w:val="nil"/>
              <w:bottom w:val="nil"/>
              <w:right w:val="nil"/>
            </w:tcBorders>
            <w:noWrap/>
            <w:vAlign w:val="center"/>
          </w:tcPr>
          <w:p w14:paraId="6FDD45E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348.24</w:t>
            </w:r>
          </w:p>
        </w:tc>
        <w:tc>
          <w:tcPr>
            <w:tcW w:w="810" w:type="dxa"/>
            <w:tcBorders>
              <w:top w:val="nil"/>
              <w:left w:val="nil"/>
              <w:bottom w:val="nil"/>
              <w:right w:val="nil"/>
            </w:tcBorders>
            <w:noWrap/>
            <w:vAlign w:val="center"/>
          </w:tcPr>
          <w:p w14:paraId="16CEF3B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25.85</w:t>
            </w:r>
          </w:p>
        </w:tc>
      </w:tr>
      <w:tr w14:paraId="2D12D7E4">
        <w:trPr>
          <w:trHeight w:val="336" w:hRule="atLeast"/>
          <w:jc w:val="center"/>
        </w:trPr>
        <w:tc>
          <w:tcPr>
            <w:tcW w:w="1436" w:type="dxa"/>
            <w:tcBorders>
              <w:top w:val="nil"/>
              <w:left w:val="nil"/>
              <w:bottom w:val="nil"/>
              <w:right w:val="nil"/>
            </w:tcBorders>
            <w:noWrap/>
            <w:vAlign w:val="center"/>
          </w:tcPr>
          <w:p w14:paraId="006D2E69">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779A27D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SD</w:t>
            </w:r>
          </w:p>
        </w:tc>
        <w:tc>
          <w:tcPr>
            <w:tcW w:w="801" w:type="dxa"/>
            <w:tcBorders>
              <w:top w:val="nil"/>
              <w:left w:val="nil"/>
              <w:bottom w:val="nil"/>
              <w:right w:val="nil"/>
            </w:tcBorders>
            <w:noWrap/>
            <w:vAlign w:val="center"/>
          </w:tcPr>
          <w:p w14:paraId="6FF8528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0.33</w:t>
            </w:r>
          </w:p>
        </w:tc>
        <w:tc>
          <w:tcPr>
            <w:tcW w:w="833" w:type="dxa"/>
            <w:tcBorders>
              <w:top w:val="nil"/>
              <w:left w:val="nil"/>
              <w:bottom w:val="nil"/>
              <w:right w:val="nil"/>
            </w:tcBorders>
            <w:noWrap/>
            <w:vAlign w:val="center"/>
          </w:tcPr>
          <w:p w14:paraId="2483EDF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0.62</w:t>
            </w:r>
          </w:p>
        </w:tc>
        <w:tc>
          <w:tcPr>
            <w:tcW w:w="982" w:type="dxa"/>
            <w:tcBorders>
              <w:top w:val="nil"/>
              <w:left w:val="nil"/>
              <w:bottom w:val="nil"/>
              <w:right w:val="nil"/>
            </w:tcBorders>
            <w:noWrap/>
            <w:vAlign w:val="center"/>
          </w:tcPr>
          <w:p w14:paraId="744D41F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131.02</w:t>
            </w:r>
          </w:p>
        </w:tc>
        <w:tc>
          <w:tcPr>
            <w:tcW w:w="850" w:type="dxa"/>
            <w:tcBorders>
              <w:top w:val="nil"/>
              <w:left w:val="nil"/>
              <w:bottom w:val="nil"/>
              <w:right w:val="nil"/>
            </w:tcBorders>
            <w:noWrap/>
            <w:vAlign w:val="center"/>
          </w:tcPr>
          <w:p w14:paraId="52E7CE9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0.78</w:t>
            </w:r>
          </w:p>
        </w:tc>
        <w:tc>
          <w:tcPr>
            <w:tcW w:w="863" w:type="dxa"/>
            <w:tcBorders>
              <w:top w:val="nil"/>
              <w:left w:val="nil"/>
              <w:bottom w:val="nil"/>
              <w:right w:val="nil"/>
            </w:tcBorders>
            <w:noWrap/>
            <w:vAlign w:val="center"/>
          </w:tcPr>
          <w:p w14:paraId="21EE0D8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28.85</w:t>
            </w:r>
          </w:p>
        </w:tc>
        <w:tc>
          <w:tcPr>
            <w:tcW w:w="710" w:type="dxa"/>
            <w:tcBorders>
              <w:top w:val="nil"/>
              <w:left w:val="nil"/>
              <w:bottom w:val="nil"/>
              <w:right w:val="nil"/>
            </w:tcBorders>
            <w:noWrap/>
            <w:vAlign w:val="center"/>
          </w:tcPr>
          <w:p w14:paraId="4489486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0.08</w:t>
            </w:r>
          </w:p>
        </w:tc>
        <w:tc>
          <w:tcPr>
            <w:tcW w:w="810" w:type="dxa"/>
            <w:tcBorders>
              <w:top w:val="nil"/>
              <w:left w:val="nil"/>
              <w:bottom w:val="nil"/>
              <w:right w:val="nil"/>
            </w:tcBorders>
            <w:noWrap/>
            <w:vAlign w:val="center"/>
          </w:tcPr>
          <w:p w14:paraId="61ACAF1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86.05</w:t>
            </w:r>
          </w:p>
        </w:tc>
        <w:tc>
          <w:tcPr>
            <w:tcW w:w="810" w:type="dxa"/>
            <w:tcBorders>
              <w:top w:val="nil"/>
              <w:left w:val="nil"/>
              <w:bottom w:val="nil"/>
              <w:right w:val="nil"/>
            </w:tcBorders>
            <w:noWrap/>
            <w:vAlign w:val="center"/>
          </w:tcPr>
          <w:p w14:paraId="38C65E0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19.88</w:t>
            </w:r>
          </w:p>
        </w:tc>
      </w:tr>
      <w:tr w14:paraId="30DE1A07">
        <w:trPr>
          <w:trHeight w:val="336" w:hRule="atLeast"/>
          <w:jc w:val="center"/>
        </w:trPr>
        <w:tc>
          <w:tcPr>
            <w:tcW w:w="1436" w:type="dxa"/>
            <w:tcBorders>
              <w:top w:val="nil"/>
              <w:left w:val="nil"/>
              <w:bottom w:val="single" w:color="auto" w:sz="4" w:space="0"/>
              <w:right w:val="nil"/>
            </w:tcBorders>
            <w:noWrap/>
            <w:vAlign w:val="center"/>
          </w:tcPr>
          <w:p w14:paraId="46F0FE06">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single" w:color="auto" w:sz="4" w:space="0"/>
              <w:right w:val="nil"/>
            </w:tcBorders>
            <w:noWrap/>
            <w:vAlign w:val="center"/>
          </w:tcPr>
          <w:p w14:paraId="264E0ED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CV</w:t>
            </w:r>
          </w:p>
        </w:tc>
        <w:tc>
          <w:tcPr>
            <w:tcW w:w="801" w:type="dxa"/>
            <w:tcBorders>
              <w:top w:val="nil"/>
              <w:left w:val="nil"/>
              <w:bottom w:val="single" w:color="auto" w:sz="4" w:space="0"/>
              <w:right w:val="nil"/>
            </w:tcBorders>
            <w:noWrap/>
            <w:vAlign w:val="center"/>
          </w:tcPr>
          <w:p w14:paraId="1B9CF03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833" w:type="dxa"/>
            <w:tcBorders>
              <w:top w:val="nil"/>
              <w:left w:val="nil"/>
              <w:bottom w:val="single" w:color="auto" w:sz="4" w:space="0"/>
              <w:right w:val="nil"/>
            </w:tcBorders>
            <w:noWrap/>
            <w:vAlign w:val="center"/>
          </w:tcPr>
          <w:p w14:paraId="6EB8C6E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982" w:type="dxa"/>
            <w:tcBorders>
              <w:top w:val="nil"/>
              <w:left w:val="nil"/>
              <w:bottom w:val="single" w:color="auto" w:sz="4" w:space="0"/>
              <w:right w:val="nil"/>
            </w:tcBorders>
            <w:noWrap/>
            <w:vAlign w:val="center"/>
          </w:tcPr>
          <w:p w14:paraId="41B339A0">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0.24</w:t>
            </w:r>
          </w:p>
        </w:tc>
        <w:tc>
          <w:tcPr>
            <w:tcW w:w="850" w:type="dxa"/>
            <w:tcBorders>
              <w:top w:val="nil"/>
              <w:left w:val="nil"/>
              <w:bottom w:val="single" w:color="auto" w:sz="4" w:space="0"/>
              <w:right w:val="nil"/>
            </w:tcBorders>
            <w:noWrap/>
            <w:vAlign w:val="center"/>
          </w:tcPr>
          <w:p w14:paraId="13B6817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0.11</w:t>
            </w:r>
          </w:p>
        </w:tc>
        <w:tc>
          <w:tcPr>
            <w:tcW w:w="863" w:type="dxa"/>
            <w:tcBorders>
              <w:top w:val="nil"/>
              <w:left w:val="nil"/>
              <w:bottom w:val="single" w:color="auto" w:sz="4" w:space="0"/>
              <w:right w:val="nil"/>
            </w:tcBorders>
            <w:noWrap/>
            <w:vAlign w:val="center"/>
          </w:tcPr>
          <w:p w14:paraId="5B91CA5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2.10</w:t>
            </w:r>
          </w:p>
        </w:tc>
        <w:tc>
          <w:tcPr>
            <w:tcW w:w="710" w:type="dxa"/>
            <w:tcBorders>
              <w:top w:val="nil"/>
              <w:left w:val="nil"/>
              <w:bottom w:val="single" w:color="auto" w:sz="4" w:space="0"/>
              <w:right w:val="nil"/>
            </w:tcBorders>
            <w:noWrap/>
            <w:vAlign w:val="center"/>
          </w:tcPr>
          <w:p w14:paraId="030C14B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0.38</w:t>
            </w:r>
          </w:p>
        </w:tc>
        <w:tc>
          <w:tcPr>
            <w:tcW w:w="810" w:type="dxa"/>
            <w:tcBorders>
              <w:top w:val="nil"/>
              <w:left w:val="nil"/>
              <w:bottom w:val="single" w:color="auto" w:sz="4" w:space="0"/>
              <w:right w:val="nil"/>
            </w:tcBorders>
            <w:noWrap/>
            <w:vAlign w:val="center"/>
          </w:tcPr>
          <w:p w14:paraId="01848C2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0.25</w:t>
            </w:r>
          </w:p>
        </w:tc>
        <w:tc>
          <w:tcPr>
            <w:tcW w:w="810" w:type="dxa"/>
            <w:tcBorders>
              <w:top w:val="nil"/>
              <w:left w:val="nil"/>
              <w:bottom w:val="single" w:color="auto" w:sz="4" w:space="0"/>
              <w:right w:val="nil"/>
            </w:tcBorders>
            <w:noWrap/>
            <w:vAlign w:val="center"/>
          </w:tcPr>
          <w:p w14:paraId="5501607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0.77</w:t>
            </w:r>
          </w:p>
        </w:tc>
      </w:tr>
    </w:tbl>
    <w:p w14:paraId="3A6255FC">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Standardized multivariate boxplots</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Fig.1</w:t>
      </w:r>
      <w:r>
        <w:rPr>
          <w:rFonts w:hint="default" w:ascii="Times New Roman Regular" w:hAnsi="Times New Roman Regular" w:cs="Times New Roman Regular"/>
          <w:color w:val="0000FF"/>
          <w:lang w:val="en-US"/>
        </w:rPr>
        <w:t>2</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 xml:space="preserve"> visually confirm that the median, interquartile range (IQR), whisker length, and outlier distribution of the virtual data for each period were highly similar to the measured data, demonstrating that the central tendency and dispersion characteristics were well-preserved. Hydrological seasonal characteristics, such as high EC/TDS/Cl</w:t>
      </w:r>
      <w:r>
        <w:rPr>
          <w:rFonts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in the dry season and low, concentrated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in the wet season, were also accurately preserved. Although the number of some newly added outliers slightly increased, they all fell within physically reasonable ranges, with no non-physical solutions, such as negative concentrations or out-of-bounds pH values, occurring. </w:t>
      </w:r>
      <w:r>
        <w:rPr>
          <w:rFonts w:ascii="Times New Roman Regular" w:hAnsi="Times New Roman Regular" w:cs="Times New Roman Regular"/>
          <w:color w:val="0000FF"/>
        </w:rPr>
        <w:t>Fig.1</w:t>
      </w:r>
      <w:r>
        <w:rPr>
          <w:rFonts w:hint="default" w:ascii="Times New Roman Regular" w:hAnsi="Times New Roman Regular" w:cs="Times New Roman Regular"/>
          <w:color w:val="0000FF"/>
          <w:lang w:val="en-US"/>
        </w:rPr>
        <w:t>3</w:t>
      </w:r>
      <w:r>
        <w:rPr>
          <w:rFonts w:hint="eastAsia" w:ascii="Times New Roman Regular" w:hAnsi="Times New Roman Regular" w:cs="Times New Roman Regular"/>
          <w:color w:val="0000FF"/>
        </w:rPr>
        <w:t xml:space="preserve"> presents a comparison of nitrate concentration frequency distributions between the original and </w:t>
      </w:r>
      <w:r>
        <w:rPr>
          <w:rFonts w:hint="default" w:ascii="Times New Roman Regular" w:hAnsi="Times New Roman Regular" w:cs="Times New Roman Regular"/>
          <w:color w:val="0000FF"/>
          <w:lang w:val="en-US"/>
        </w:rPr>
        <w:t xml:space="preserve">virtual </w:t>
      </w:r>
      <w:r>
        <w:rPr>
          <w:rFonts w:hint="eastAsia" w:ascii="Times New Roman Regular" w:hAnsi="Times New Roman Regular" w:cs="Times New Roman Regular"/>
          <w:color w:val="0000FF"/>
        </w:rPr>
        <w:t xml:space="preserve">datasets across normal, dry, and wet periods. The distributional comparison indicates that the proposed t-SNE + GMM + KNN inverse mapping </w:t>
      </w:r>
      <w:r>
        <w:rPr>
          <w:rFonts w:hint="default" w:ascii="Times New Roman Regular" w:hAnsi="Times New Roman Regular" w:cs="Times New Roman Regular"/>
          <w:color w:val="0000FF"/>
          <w:lang w:val="en-US"/>
        </w:rPr>
        <w:t xml:space="preserve">virtual </w:t>
      </w:r>
      <w:r>
        <w:rPr>
          <w:rFonts w:hint="eastAsia" w:ascii="Times New Roman Regular" w:hAnsi="Times New Roman Regular" w:cs="Times New Roman Regular"/>
          <w:color w:val="0000FF"/>
        </w:rPr>
        <w:t>sample generation strategy maintains the core features of the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distribution for each hydrological period, while simultaneously improving sample representation in sparse areas and intervals of high variability. Therefore, the t-SNE + GMM method effectively captured the non-linear structure and extreme value information of the original data, and can provide reliable data support for subsequent model training.</w:t>
      </w:r>
    </w:p>
    <w:p w14:paraId="5C19B978">
      <w:pPr>
        <w:spacing w:line="300" w:lineRule="auto"/>
        <w:rPr>
          <w:rFonts w:hint="default" w:ascii="Times New Roman Regular" w:hAnsi="Times New Roman Regular" w:cs="Times New Roman Regular"/>
          <w:color w:val="0000FF"/>
          <w:lang w:val="en-US"/>
        </w:rPr>
      </w:pPr>
      <w:bookmarkStart w:id="1" w:name="_GoBack"/>
      <w:r>
        <w:rPr>
          <w:color w:val="0000FF"/>
        </w:rPr>
        <w:drawing>
          <wp:inline distT="0" distB="0" distL="114300" distR="114300">
            <wp:extent cx="5272405" cy="6752590"/>
            <wp:effectExtent l="0" t="0" r="10795" b="381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8"/>
                    <a:stretch>
                      <a:fillRect/>
                    </a:stretch>
                  </pic:blipFill>
                  <pic:spPr>
                    <a:xfrm>
                      <a:off x="0" y="0"/>
                      <a:ext cx="5272405" cy="6752590"/>
                    </a:xfrm>
                    <a:prstGeom prst="rect">
                      <a:avLst/>
                    </a:prstGeom>
                    <a:noFill/>
                    <a:ln>
                      <a:noFill/>
                    </a:ln>
                  </pic:spPr>
                </pic:pic>
              </a:graphicData>
            </a:graphic>
          </wp:inline>
        </w:drawing>
      </w:r>
      <w:bookmarkEnd w:id="1"/>
    </w:p>
    <w:p w14:paraId="221C77FD">
      <w:pPr>
        <w:keepNext w:val="0"/>
        <w:keepLines w:val="0"/>
        <w:pageBreakBefore w:val="0"/>
        <w:widowControl w:val="0"/>
        <w:kinsoku/>
        <w:wordWrap/>
        <w:overflowPunct/>
        <w:topLinePunct w:val="0"/>
        <w:autoSpaceDE/>
        <w:autoSpaceDN/>
        <w:bidi w:val="0"/>
        <w:adjustRightInd/>
        <w:snapToGrid/>
        <w:spacing w:line="300" w:lineRule="auto"/>
        <w:jc w:val="center"/>
        <w:textAlignment w:val="auto"/>
        <w:rPr>
          <w:rFonts w:hint="default"/>
          <w:color w:val="0000FF"/>
          <w:lang w:val="en-US" w:eastAsia="zh-CN"/>
        </w:rPr>
      </w:pPr>
      <w:r>
        <w:rPr>
          <w:rFonts w:ascii="Times New Roman Bold" w:hAnsi="Times New Roman Bold" w:cs="Times New Roman Bold"/>
          <w:b/>
          <w:bCs/>
          <w:color w:val="0000FF"/>
        </w:rPr>
        <w:t>Fig.1</w:t>
      </w:r>
      <w:r>
        <w:rPr>
          <w:rFonts w:hint="default" w:ascii="Times New Roman Bold" w:hAnsi="Times New Roman Bold" w:cs="Times New Roman Bold"/>
          <w:b/>
          <w:bCs/>
          <w:color w:val="0000FF"/>
          <w:lang w:val="en-US"/>
        </w:rPr>
        <w:t>2</w:t>
      </w:r>
      <w:r>
        <w:rPr>
          <w:rFonts w:ascii="Times New Roman Regular" w:hAnsi="Times New Roman Regular" w:cs="Times New Roman Regular"/>
          <w:color w:val="0000FF"/>
        </w:rPr>
        <w:t>. Box plots of the observed and virtual variable data</w:t>
      </w:r>
      <w:r>
        <w:rPr>
          <w:rFonts w:hint="eastAsia" w:ascii="Times New Roman Regular" w:hAnsi="Times New Roman Regular" w:cs="Times New Roman Regular"/>
          <w:color w:val="0000FF"/>
        </w:rPr>
        <w:t xml:space="preserve"> at different periods</w:t>
      </w:r>
      <w:r>
        <w:rPr>
          <w:rFonts w:ascii="Times New Roman Regular" w:hAnsi="Times New Roman Regular" w:cs="Times New Roman Regular"/>
          <w:color w:val="0000FF"/>
        </w:rPr>
        <w:t>.</w:t>
      </w:r>
    </w:p>
    <w:p w14:paraId="3B0B0392">
      <w:pPr>
        <w:spacing w:line="300" w:lineRule="auto"/>
        <w:rPr>
          <w:rFonts w:hint="default" w:ascii="Times New Roman Regular" w:hAnsi="Times New Roman Regular" w:cs="Times New Roman Regular"/>
          <w:color w:val="0000FF"/>
          <w:lang w:val="en-US"/>
        </w:rPr>
      </w:pPr>
      <w:r>
        <w:rPr>
          <w:color w:val="0000FF"/>
        </w:rPr>
        <w:drawing>
          <wp:inline distT="0" distB="0" distL="114300" distR="114300">
            <wp:extent cx="5264150" cy="1317625"/>
            <wp:effectExtent l="0" t="0" r="19050" b="3175"/>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9"/>
                    <a:stretch>
                      <a:fillRect/>
                    </a:stretch>
                  </pic:blipFill>
                  <pic:spPr>
                    <a:xfrm>
                      <a:off x="0" y="0"/>
                      <a:ext cx="5264150" cy="1317625"/>
                    </a:xfrm>
                    <a:prstGeom prst="rect">
                      <a:avLst/>
                    </a:prstGeom>
                    <a:noFill/>
                    <a:ln>
                      <a:noFill/>
                    </a:ln>
                  </pic:spPr>
                </pic:pic>
              </a:graphicData>
            </a:graphic>
          </wp:inline>
        </w:drawing>
      </w:r>
    </w:p>
    <w:p w14:paraId="5FBB2BE0">
      <w:pPr>
        <w:spacing w:line="300" w:lineRule="auto"/>
        <w:jc w:val="center"/>
        <w:rPr>
          <w:rFonts w:ascii="Times New Roman Regular" w:hAnsi="Times New Roman Regular" w:cs="Times New Roman Regular"/>
          <w:color w:val="0000FF"/>
        </w:rPr>
      </w:pPr>
      <w:r>
        <w:rPr>
          <w:rFonts w:ascii="Times New Roman Bold" w:hAnsi="Times New Roman Bold" w:cs="Times New Roman Bold"/>
          <w:b/>
          <w:bCs/>
          <w:color w:val="0000FF"/>
        </w:rPr>
        <w:t>Fig.1</w:t>
      </w:r>
      <w:r>
        <w:rPr>
          <w:rFonts w:hint="default" w:ascii="Times New Roman Bold" w:hAnsi="Times New Roman Bold" w:cs="Times New Roman Bold"/>
          <w:b/>
          <w:bCs/>
          <w:color w:val="0000FF"/>
          <w:lang w:val="en-US"/>
        </w:rPr>
        <w:t>3</w:t>
      </w:r>
      <w:r>
        <w:rPr>
          <w:rFonts w:ascii="Times New Roman Regular" w:hAnsi="Times New Roman Regular" w:cs="Times New Roman Regular"/>
          <w:color w:val="0000FF"/>
        </w:rPr>
        <w:t>. Comparison of nitrate concentration distribution in the original and virtual datasets under different periods.</w:t>
      </w:r>
    </w:p>
    <w:p w14:paraId="6DABD654">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The Kolmogorov-Smirnov (KS) test results indicate that the dry season exhibited the lowest mean KS statistic (0.1214±0.0387), with 80.0% of the features falling below the strict threshold of 0.15</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Fig. S1)</w:t>
      </w:r>
      <w:r>
        <w:rPr>
          <w:rFonts w:hint="default" w:ascii="Times New Roman Regular" w:hAnsi="Times New Roman Regular" w:cs="Times New Roman Regular"/>
          <w:color w:val="0000FF"/>
        </w:rPr>
        <w:t>. This demonstrates that the virtual samples during this period highly reproduced the distribution characteristics of the observed data. The normal season followed, with a mean KS statistic of 0.1278±0.0356, where 72.5% of the features had KS values below 0.15. The distribution similarity during the wet season was relatively lower, characterized by a mean KS statistic of 0.1657 ± 0.0542; although 37.5% of the features had KS values below 0.15, 70.0% still satisfied the acceptable criterion of KS&lt;0.20. The P-values from the KS test provided a quantitative assessment of the statistical significance regarding distributional differences. When P &gt; 0.05, the null hypothesis could not be rejected, indicating no significant difference between the distributions of the virtual and observed samples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Fig. S2 &amp; Fig.14)</w:t>
      </w:r>
      <w:r>
        <w:rPr>
          <w:rFonts w:hint="default" w:ascii="Times New Roman Regular" w:hAnsi="Times New Roman Regular" w:cs="Times New Roman Regular"/>
          <w:color w:val="0000FF"/>
        </w:rPr>
        <w:t>. Jensen-Shannon (JS) divergence analysis further corroborated these findings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Fig. 15)</w:t>
      </w:r>
      <w:r>
        <w:rPr>
          <w:rFonts w:hint="default" w:ascii="Times New Roman Regular" w:hAnsi="Times New Roman Regular" w:cs="Times New Roman Regular"/>
          <w:color w:val="0000FF"/>
        </w:rPr>
        <w:t>. The mean JS divergence across all three hydrological periods remained below the threshold of 0.05, demonstrating high consistency with the original distributions. These low JS divergence values indicate that the probability distributions of the synthetic samples closely approximated the observed data, with no significant distributional shift observed. Notably, the JS divergence values for Salt and NO</w:t>
      </w:r>
      <w:r>
        <w:rPr>
          <w:rFonts w:hint="default"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color w:val="0000FF"/>
        </w:rPr>
        <w:t xml:space="preserve"> were relatively higher across all hydrological periods. Evaluation results using the Maximum Mean Discrepancy (MMD) showed that MMD values approaching zero and remaining within the confidence interval indicate no significant distributional differences between the synthetic and observed data in the Reproducing Kernel Hilbert Space (RKHS), confirming that the virtual samples introduced no systematic bias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Fig. 16)</w:t>
      </w:r>
      <w:r>
        <w:rPr>
          <w:rFonts w:hint="default" w:ascii="Times New Roman Regular" w:hAnsi="Times New Roman Regular" w:cs="Times New Roman Regular"/>
          <w:color w:val="0000FF"/>
        </w:rPr>
        <w:t>.</w:t>
      </w:r>
    </w:p>
    <w:p w14:paraId="02C18ACC">
      <w:pPr>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color w:val="0000FF"/>
        </w:rPr>
      </w:pPr>
      <w:r>
        <w:rPr>
          <w:color w:val="0000FF"/>
        </w:rPr>
        <w:drawing>
          <wp:inline distT="0" distB="0" distL="114300" distR="114300">
            <wp:extent cx="5271135" cy="3485515"/>
            <wp:effectExtent l="0" t="0" r="12065" b="1968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tretch>
                      <a:fillRect/>
                    </a:stretch>
                  </pic:blipFill>
                  <pic:spPr>
                    <a:xfrm>
                      <a:off x="0" y="0"/>
                      <a:ext cx="5271135" cy="3485515"/>
                    </a:xfrm>
                    <a:prstGeom prst="rect">
                      <a:avLst/>
                    </a:prstGeom>
                    <a:noFill/>
                    <a:ln>
                      <a:noFill/>
                    </a:ln>
                  </pic:spPr>
                </pic:pic>
              </a:graphicData>
            </a:graphic>
          </wp:inline>
        </w:drawing>
      </w:r>
    </w:p>
    <w:p w14:paraId="7AF388F5">
      <w:pPr>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hint="default" w:ascii="Times New Roman Regular" w:hAnsi="Times New Roman Regular" w:cs="Times New Roman Regular"/>
          <w:color w:val="0000FF"/>
          <w:lang w:val="en-US"/>
        </w:rPr>
      </w:pPr>
      <w:r>
        <w:rPr>
          <w:rFonts w:hint="default" w:ascii="Times New Roman Bold" w:hAnsi="Times New Roman Bold" w:cs="Times New Roman Bold"/>
          <w:b/>
          <w:bCs/>
          <w:color w:val="0000FF"/>
          <w:lang w:val="en-US"/>
        </w:rPr>
        <w:t>Fig.14</w:t>
      </w:r>
      <w:r>
        <w:rPr>
          <w:rFonts w:hint="default" w:ascii="Times New Roman Regular" w:hAnsi="Times New Roman Regular" w:cs="Times New Roman Regular"/>
          <w:color w:val="0000FF"/>
          <w:lang w:val="en-US"/>
        </w:rPr>
        <w:t>. Comparison of mean KS P-value under different sample generation factors during normal, dry, and wet seasons.</w:t>
      </w:r>
    </w:p>
    <w:p w14:paraId="6533954E">
      <w:pPr>
        <w:keepNext w:val="0"/>
        <w:keepLines w:val="0"/>
        <w:pageBreakBefore w:val="0"/>
        <w:widowControl w:val="0"/>
        <w:kinsoku/>
        <w:wordWrap/>
        <w:overflowPunct/>
        <w:topLinePunct w:val="0"/>
        <w:autoSpaceDE/>
        <w:autoSpaceDN/>
        <w:bidi w:val="0"/>
        <w:adjustRightInd/>
        <w:snapToGrid/>
        <w:spacing w:line="300" w:lineRule="auto"/>
        <w:ind w:firstLine="0" w:firstLineChars="0"/>
        <w:jc w:val="both"/>
        <w:textAlignment w:val="auto"/>
        <w:rPr>
          <w:color w:val="0000FF"/>
        </w:rPr>
      </w:pPr>
      <w:r>
        <w:rPr>
          <w:color w:val="0000FF"/>
        </w:rPr>
        <w:drawing>
          <wp:inline distT="0" distB="0" distL="114300" distR="114300">
            <wp:extent cx="5262245" cy="1723390"/>
            <wp:effectExtent l="0" t="0" r="20955" b="381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1"/>
                    <a:stretch>
                      <a:fillRect/>
                    </a:stretch>
                  </pic:blipFill>
                  <pic:spPr>
                    <a:xfrm>
                      <a:off x="0" y="0"/>
                      <a:ext cx="5262245" cy="1723390"/>
                    </a:xfrm>
                    <a:prstGeom prst="rect">
                      <a:avLst/>
                    </a:prstGeom>
                    <a:noFill/>
                    <a:ln>
                      <a:noFill/>
                    </a:ln>
                  </pic:spPr>
                </pic:pic>
              </a:graphicData>
            </a:graphic>
          </wp:inline>
        </w:drawing>
      </w:r>
    </w:p>
    <w:p w14:paraId="20930740">
      <w:pPr>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hint="default" w:ascii="Times New Roman Regular" w:hAnsi="Times New Roman Regular" w:cs="Times New Roman Regular"/>
          <w:color w:val="0000FF"/>
          <w:lang w:val="en-US"/>
        </w:rPr>
      </w:pPr>
      <w:r>
        <w:rPr>
          <w:rFonts w:hint="default" w:ascii="Times New Roman Bold" w:hAnsi="Times New Roman Bold" w:cs="Times New Roman Bold"/>
          <w:b/>
          <w:bCs/>
          <w:color w:val="0000FF"/>
          <w:lang w:val="en-US"/>
        </w:rPr>
        <w:t>Fig.15</w:t>
      </w:r>
      <w:r>
        <w:rPr>
          <w:rFonts w:hint="default" w:ascii="Times New Roman Regular" w:hAnsi="Times New Roman Regular" w:cs="Times New Roman Regular"/>
          <w:color w:val="0000FF"/>
          <w:lang w:val="en-US"/>
        </w:rPr>
        <w:t>. Boxplots of JS Divergence for Water Quality Features across Different Seasons.</w:t>
      </w:r>
    </w:p>
    <w:p w14:paraId="525E763A">
      <w:pPr>
        <w:keepNext w:val="0"/>
        <w:keepLines w:val="0"/>
        <w:pageBreakBefore w:val="0"/>
        <w:widowControl w:val="0"/>
        <w:kinsoku/>
        <w:wordWrap/>
        <w:overflowPunct/>
        <w:topLinePunct w:val="0"/>
        <w:autoSpaceDE/>
        <w:autoSpaceDN/>
        <w:bidi w:val="0"/>
        <w:adjustRightInd/>
        <w:snapToGrid/>
        <w:spacing w:line="300" w:lineRule="auto"/>
        <w:ind w:firstLine="0" w:firstLineChars="0"/>
        <w:jc w:val="both"/>
        <w:textAlignment w:val="auto"/>
        <w:rPr>
          <w:rFonts w:hint="default" w:ascii="Times New Roman Regular" w:hAnsi="Times New Roman Regular" w:cs="Times New Roman Regular"/>
          <w:color w:val="0000FF"/>
          <w:lang w:val="en-US"/>
        </w:rPr>
      </w:pPr>
      <w:r>
        <w:rPr>
          <w:color w:val="0000FF"/>
        </w:rPr>
        <w:drawing>
          <wp:inline distT="0" distB="0" distL="114300" distR="114300">
            <wp:extent cx="5262880" cy="3379470"/>
            <wp:effectExtent l="0" t="0" r="20320" b="2413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2"/>
                    <a:stretch>
                      <a:fillRect/>
                    </a:stretch>
                  </pic:blipFill>
                  <pic:spPr>
                    <a:xfrm>
                      <a:off x="0" y="0"/>
                      <a:ext cx="5262880" cy="3379470"/>
                    </a:xfrm>
                    <a:prstGeom prst="rect">
                      <a:avLst/>
                    </a:prstGeom>
                    <a:noFill/>
                    <a:ln>
                      <a:noFill/>
                    </a:ln>
                  </pic:spPr>
                </pic:pic>
              </a:graphicData>
            </a:graphic>
          </wp:inline>
        </w:drawing>
      </w:r>
    </w:p>
    <w:p w14:paraId="6A079B24">
      <w:pPr>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hint="default" w:ascii="Times New Roman Regular" w:hAnsi="Times New Roman Regular" w:cs="Times New Roman Regular"/>
          <w:color w:val="0000FF"/>
          <w:lang w:val="en-US"/>
        </w:rPr>
      </w:pPr>
      <w:r>
        <w:rPr>
          <w:rFonts w:hint="default" w:ascii="Times New Roman Bold" w:hAnsi="Times New Roman Bold" w:cs="Times New Roman Bold"/>
          <w:b/>
          <w:bCs/>
          <w:color w:val="0000FF"/>
          <w:lang w:val="en-US"/>
        </w:rPr>
        <w:t>Fig.16</w:t>
      </w:r>
      <w:r>
        <w:rPr>
          <w:rFonts w:hint="default" w:ascii="Times New Roman Regular" w:hAnsi="Times New Roman Regular" w:cs="Times New Roman Regular"/>
          <w:color w:val="0000FF"/>
          <w:lang w:val="en-US"/>
        </w:rPr>
        <w:t>. The variation of maximum mean difference (MMD) with sample generation factor in different seasons.</w:t>
      </w:r>
    </w:p>
    <w:p w14:paraId="68F96F9B">
      <w:pPr>
        <w:spacing w:line="300" w:lineRule="auto"/>
        <w:ind w:firstLine="420"/>
        <w:jc w:val="both"/>
        <w:rPr>
          <w:rFonts w:hint="eastAsia" w:ascii="Times New Roman Regular" w:hAnsi="Times New Roman Regular" w:cs="Times New Roman Regular"/>
          <w:color w:val="0000FF"/>
        </w:rPr>
      </w:pPr>
      <w:r>
        <w:rPr>
          <w:rFonts w:hint="default" w:ascii="Times New Roman Regular" w:hAnsi="Times New Roman Regular" w:cs="Times New Roman Regular"/>
          <w:color w:val="0000FF"/>
        </w:rPr>
        <w:t>Analysis of the impact of sample generation multipliers revealed that a multiplier of 7 to 10 times yielded the optimal performance across all hydrological periods. Within this range, both KS statistics and JS divergence remained at low levels with minimal fluctuation, indicating the most stable distribution similarity. In contrast, sample generation with multipliers of 1 to 3 times exhibited larger fluctuations in some indicators, demonstrating insufficient stability. Based on a comprehensive evaluation, this study recommends adopting a sample generation multiplier of at least 7 to ensure the quality of virtual samples. Feature-level analysis revealed the response characteristics of different water quality parameters to the data augmentation strategy. The KS statistics for ORP, Temperature, and EC were generally low (mean&lt;0.12), indicating excellent performance in virtual sample generation for these features. In contrast, Salt,</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rPr>
        <w:t>NO</w:t>
      </w:r>
      <w:r>
        <w:rPr>
          <w:rFonts w:hint="default"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color w:val="0000FF"/>
        </w:rPr>
        <w:t>, and TDS exhibited relatively higher KS statistics (mean&gt;0.18). Nevertheless, the MMD values for all features remained within the confidence interval, suggesting that even for features with high KS values, the virtual samples did not introduce significant distributional bias. These diagnostics confirm that the t-SNE-GMM-KNN strategy effectively mitigates small sample bias without introducing systematic distributional distortion.</w:t>
      </w:r>
    </w:p>
    <w:p w14:paraId="38468C42">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p>
    <w:p w14:paraId="2AE4F825">
      <w:pPr>
        <w:spacing w:line="300" w:lineRule="auto"/>
        <w:outlineLvl w:val="1"/>
        <w:rPr>
          <w:rFonts w:hint="default" w:ascii="Times New Roman Regular" w:hAnsi="Times New Roman Regular" w:cs="Times New Roman Regular" w:eastAsiaTheme="minorEastAsia"/>
          <w:color w:val="0000FF"/>
          <w:lang w:val="en-US" w:eastAsia="zh-CN"/>
        </w:rPr>
      </w:pPr>
      <w:r>
        <w:rPr>
          <w:rFonts w:hint="eastAsia" w:ascii="Times New Roman Regular" w:hAnsi="Times New Roman Regular" w:cs="Times New Roman Regular"/>
          <w:color w:val="0000FF"/>
          <w:lang w:val="en-US" w:eastAsia="zh-CN"/>
        </w:rPr>
        <w:t>3.</w:t>
      </w:r>
      <w:r>
        <w:rPr>
          <w:rFonts w:hint="default" w:ascii="Times New Roman Regular" w:hAnsi="Times New Roman Regular" w:cs="Times New Roman Regular"/>
          <w:color w:val="0000FF"/>
          <w:lang w:val="en-US" w:eastAsia="zh-CN"/>
        </w:rPr>
        <w:t>6</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eastAsiaTheme="minorEastAsia"/>
          <w:color w:val="0000FF"/>
          <w:lang w:val="en-US" w:eastAsia="zh-CN"/>
        </w:rPr>
        <w:t>Sensitivity analysis of key parameters</w:t>
      </w:r>
    </w:p>
    <w:p w14:paraId="66723826">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To quantitatively evaluate the response intensity of the model</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s nitrate concentration prediction results to the perturbation of input hydrochemical parameters, and to verify the robustness of the model and the reliability of feature importance ranking, this study conducted a multi-dimensional sensitivity analysis based on the Sobol global sensitivity index</w:t>
      </w:r>
      <w:r>
        <w:rPr>
          <w:rFonts w:hint="default" w:ascii="Times New Roman Regular" w:hAnsi="Times New Roman Regular" w:cs="Times New Roman Regular"/>
          <w:color w:val="0000FF"/>
          <w:lang w:val="en-US"/>
        </w:rPr>
        <w:t xml:space="preserve"> (first-order and total-order)</w:t>
      </w:r>
      <w:r>
        <w:rPr>
          <w:rFonts w:hint="eastAsia" w:ascii="Times New Roman Regular" w:hAnsi="Times New Roman Regular" w:cs="Times New Roman Regular"/>
          <w:color w:val="0000FF"/>
        </w:rPr>
        <w:t xml:space="preserve">, one-at-a-time (OAT) feature perturbation test, and elasticity coefficient calculation. The analysis was performed for both classical Random Forest and hybrid quantum-classical Random Forest models under different virtual sample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gradients (original, 1</w:t>
      </w:r>
      <w:r>
        <w:rPr>
          <w:rFonts w:hint="eastAsia" w:ascii="Times New Roman Regular" w:hAnsi="Times New Roman Regular" w:cs="Times New Roman Regular"/>
          <w:color w:val="0000FF"/>
          <w:lang w:val="en-US" w:eastAsia="zh-CN"/>
        </w:rPr>
        <w:t>x</w:t>
      </w:r>
      <w:r>
        <w:rPr>
          <w:rFonts w:hint="eastAsia" w:ascii="Times New Roman Regular" w:hAnsi="Times New Roman Regular" w:cs="Times New Roman Regular"/>
          <w:color w:val="0000FF"/>
        </w:rPr>
        <w:t>, 5</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across normal, dry, and wet hydrological seasons, to systematically reveal the key controlling parameters of the model and the stability of parameter sensitivity under data </w:t>
      </w:r>
      <w:r>
        <w:rPr>
          <w:rFonts w:hint="default" w:ascii="Times New Roman Regular" w:hAnsi="Times New Roman Regular" w:cs="Times New Roman Regular"/>
          <w:color w:val="0000FF"/>
          <w:lang w:val="en-US"/>
        </w:rPr>
        <w:t>generation</w:t>
      </w:r>
      <w:r>
        <w:rPr>
          <w:rFonts w:hint="eastAsia" w:ascii="Times New Roman Regular" w:hAnsi="Times New Roman Regular" w:cs="Times New Roman Regular"/>
          <w:color w:val="0000FF"/>
        </w:rPr>
        <w:t>.</w:t>
      </w:r>
    </w:p>
    <w:p w14:paraId="1F98442C">
      <w:pPr>
        <w:spacing w:line="300" w:lineRule="auto"/>
        <w:rPr>
          <w:rFonts w:ascii="Times New Roman Regular" w:hAnsi="Times New Roman Regular" w:cs="Times New Roman Regular"/>
          <w:color w:val="0000FF"/>
        </w:rPr>
      </w:pPr>
    </w:p>
    <w:p w14:paraId="42062BAD">
      <w:pPr>
        <w:spacing w:line="300" w:lineRule="auto"/>
        <w:outlineLvl w:val="2"/>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3.</w:t>
      </w:r>
      <w:r>
        <w:rPr>
          <w:rFonts w:hint="default" w:ascii="Times New Roman Regular" w:hAnsi="Times New Roman Regular" w:cs="Times New Roman Regular"/>
          <w:color w:val="0000FF"/>
          <w:lang w:val="en-US"/>
        </w:rPr>
        <w:t>6</w:t>
      </w:r>
      <w:r>
        <w:rPr>
          <w:rFonts w:hint="eastAsia" w:ascii="Times New Roman Regular" w:hAnsi="Times New Roman Regular" w:cs="Times New Roman Regular"/>
          <w:color w:val="0000FF"/>
        </w:rPr>
        <w:t>.1 Global sensitivity analysis based on Sobol' index</w:t>
      </w:r>
    </w:p>
    <w:p w14:paraId="545BE1FA">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 xml:space="preserve">Normal season: For the classical RF model, the total-order Sobol sensitivity index showed that TDS (0.2882-0.2933), EC (0.2701-0.2839), and Salt (0.2411-0.2612) were consistently the top three parameters with the highest global sensitivity across all virtual sample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gradients</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Fig. 22)</w:t>
      </w:r>
      <w:r>
        <w:rPr>
          <w:rFonts w:hint="eastAsia" w:ascii="Times New Roman Regular" w:hAnsi="Times New Roman Regular" w:cs="Times New Roman Regular"/>
          <w:color w:val="0000FF"/>
        </w:rPr>
        <w:t>, which was highly consistent with the feature importance ranking based on the Gini index and SHAP value. The first-order sensitivity index of TDS remained above 0.29 in the original dataset, and stabilized at 0.2938 after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virtual sample </w:t>
      </w:r>
      <w:r>
        <w:rPr>
          <w:rFonts w:hint="default" w:ascii="Times New Roman Regular" w:hAnsi="Times New Roman Regular" w:cs="Times New Roman Regular"/>
          <w:color w:val="0000FF"/>
          <w:lang w:val="en-US"/>
        </w:rPr>
        <w:t>generation</w:t>
      </w:r>
      <w:r>
        <w:rPr>
          <w:rFonts w:hint="eastAsia" w:ascii="Times New Roman Regular" w:hAnsi="Times New Roman Regular" w:cs="Times New Roman Regular"/>
          <w:color w:val="0000FF"/>
        </w:rPr>
        <w:t xml:space="preserve">, indicating that TDS has a stable and dominant independent contribution to the model prediction results. The sensitivity of pH, T, DO, and ORP was significantly lower, with total-order indices all below 0.08, showing that these parameters have limited independent influence on nitrate prediction in the normal season. For the </w:t>
      </w:r>
      <w:r>
        <w:rPr>
          <w:rFonts w:hint="default" w:ascii="Times New Roman Regular" w:hAnsi="Times New Roman Regular" w:cs="Times New Roman Regular"/>
          <w:color w:val="0000FF"/>
          <w:lang w:val="en-US"/>
        </w:rPr>
        <w:t xml:space="preserve">quantum-enhanced RF </w:t>
      </w:r>
      <w:r>
        <w:rPr>
          <w:rFonts w:hint="eastAsia" w:ascii="Times New Roman Regular" w:hAnsi="Times New Roman Regular" w:cs="Times New Roman Regular"/>
          <w:color w:val="0000FF"/>
        </w:rPr>
        <w:t>model, the overall sensitivity ranking of parameters was consistent with the classical RF, while the total-order sensitivity of TDS, EC, and Salt was further stabilized after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 xml:space="preserve">(TDS: 0.2586, EC: 0.2516, Salt: 0.2416). </w:t>
      </w:r>
      <w:r>
        <w:rPr>
          <w:rFonts w:hint="default" w:ascii="Times New Roman Regular" w:hAnsi="Times New Roman Regular" w:cs="Times New Roman Regular"/>
          <w:color w:val="0000FF"/>
          <w:lang w:val="en-US"/>
        </w:rPr>
        <w:t>T</w:t>
      </w:r>
      <w:r>
        <w:rPr>
          <w:rFonts w:hint="eastAsia" w:ascii="Times New Roman Regular" w:hAnsi="Times New Roman Regular" w:cs="Times New Roman Regular"/>
          <w:color w:val="0000FF"/>
        </w:rPr>
        <w:t>he total-order sensitivity of ORP increased from 0.0313 (original data) to 0.0608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generation</w:t>
      </w:r>
      <w:r>
        <w:rPr>
          <w:rFonts w:hint="eastAsia" w:ascii="Times New Roman Regular" w:hAnsi="Times New Roman Regular" w:cs="Times New Roman Regular"/>
          <w:color w:val="0000FF"/>
        </w:rPr>
        <w:t>), indicating that quantum feature encoding enhances the model</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s perception of the redox environment</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xml:space="preserve">s contribution to nitrate dynamics, and virtual sample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further improves the stability of sensitivity estimation for low-contribution parameters.</w:t>
      </w:r>
    </w:p>
    <w:p w14:paraId="3FBF28B3">
      <w:pPr>
        <w:spacing w:line="300" w:lineRule="auto"/>
        <w:rPr>
          <w:color w:val="0000FF"/>
        </w:rPr>
      </w:pPr>
      <w:r>
        <w:rPr>
          <w:color w:val="0000FF"/>
        </w:rPr>
        <w:drawing>
          <wp:inline distT="0" distB="0" distL="114300" distR="114300">
            <wp:extent cx="5273675" cy="3524885"/>
            <wp:effectExtent l="0" t="0" r="9525" b="571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3"/>
                    <a:stretch>
                      <a:fillRect/>
                    </a:stretch>
                  </pic:blipFill>
                  <pic:spPr>
                    <a:xfrm>
                      <a:off x="0" y="0"/>
                      <a:ext cx="5273675" cy="3524885"/>
                    </a:xfrm>
                    <a:prstGeom prst="rect">
                      <a:avLst/>
                    </a:prstGeom>
                    <a:noFill/>
                    <a:ln>
                      <a:noFill/>
                    </a:ln>
                  </pic:spPr>
                </pic:pic>
              </a:graphicData>
            </a:graphic>
          </wp:inline>
        </w:drawing>
      </w:r>
    </w:p>
    <w:p w14:paraId="19D7ED87">
      <w:pPr>
        <w:spacing w:line="300" w:lineRule="auto"/>
        <w:jc w:val="center"/>
        <w:rPr>
          <w:rFonts w:hint="default" w:ascii="Times New Roman Regular" w:hAnsi="Times New Roman Regular" w:cs="Times New Roman Regular" w:eastAsiaTheme="minorEastAsia"/>
          <w:color w:val="0000FF"/>
          <w:lang w:val="en-US" w:eastAsia="zh-CN"/>
        </w:rPr>
      </w:pPr>
      <w:r>
        <w:rPr>
          <w:rFonts w:hint="default" w:ascii="Times New Roman Bold" w:hAnsi="Times New Roman Bold" w:cs="Times New Roman Bold"/>
          <w:b/>
          <w:bCs/>
          <w:color w:val="0000FF"/>
          <w:lang w:val="en-US" w:eastAsia="zh-CN"/>
        </w:rPr>
        <w:t>Fig.22</w:t>
      </w:r>
      <w:r>
        <w:rPr>
          <w:rFonts w:hint="default" w:ascii="Times New Roman Regular" w:hAnsi="Times New Roman Regular" w:cs="Times New Roman Regular"/>
          <w:color w:val="0000FF"/>
          <w:lang w:val="en-US" w:eastAsia="zh-CN"/>
        </w:rPr>
        <w:t>. Sensitivity analysis of key parameters during the normal season.</w:t>
      </w:r>
    </w:p>
    <w:p w14:paraId="5A73EC2A">
      <w:pPr>
        <w:spacing w:line="300" w:lineRule="auto"/>
        <w:ind w:firstLine="420"/>
        <w:rPr>
          <w:rFonts w:ascii="Times New Roman Regular" w:hAnsi="Times New Roman Regular" w:cs="Times New Roman Regular"/>
          <w:color w:val="0000FF"/>
        </w:rPr>
      </w:pPr>
      <w:r>
        <w:rPr>
          <w:rFonts w:hint="default" w:ascii="Times New Roman Regular" w:hAnsi="Times New Roman Regular" w:cs="Times New Roman Regular"/>
          <w:color w:val="0000FF"/>
        </w:rPr>
        <w:t>The dry season, characterized by highly skewed nitrate distribution and strong evaporative concentration effects, showed differences in parameter sensitivity compared with the normal season</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Fig. 23)</w:t>
      </w:r>
      <w:r>
        <w:rPr>
          <w:rFonts w:hint="default" w:ascii="Times New Roman Regular" w:hAnsi="Times New Roman Regular" w:cs="Times New Roman Regular"/>
          <w:color w:val="0000FF"/>
        </w:rPr>
        <w:t xml:space="preserve">. For the classical RF model with original data, TDS (total-order index 0.2713), Salt (0.1907), EC (0.1739), DO (0.1766), and pH (0.1146) were the top five sensitive parameters. The total-order sensitivity of pH reached 0.1146 in the original dataset, which was much higher than that in the normal and wet seasons, reflecting that the acid-base environment is a key factor affecting nitrate accumulation under strong evaporation conditions in the dry season. With the increase of virtual sample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 xml:space="preserve">multiples, the sensitivity of TDS, EC, and Salt gradually stabilized, while the sensitivity of DO maintained a high level (total-order index 0.1596-0.2165), confirming that dissolved oxygen, as a key indicator of nitrification intensity, has a persistent driving effect on nitrate concentration in the oxidizing environment of the dry season. For the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 xml:space="preserve">model, the total-order sensitivity of pH (0.1015) and DO (0.1665) after 10×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was higher than that of the classical RF model, indicating that the hybrid quantum-classical framework has better robustness in capturing the nonlinear relationship between hydrochemical parameters and nitrate under high-heterogeneity, small-sample conditions in the dry season.</w:t>
      </w:r>
    </w:p>
    <w:p w14:paraId="6F4BE1C6">
      <w:pPr>
        <w:spacing w:line="300" w:lineRule="auto"/>
        <w:rPr>
          <w:color w:val="0000FF"/>
        </w:rPr>
      </w:pPr>
      <w:r>
        <w:rPr>
          <w:color w:val="0000FF"/>
        </w:rPr>
        <w:drawing>
          <wp:inline distT="0" distB="0" distL="114300" distR="114300">
            <wp:extent cx="5270500" cy="3493770"/>
            <wp:effectExtent l="0" t="0" r="12700" b="1143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14"/>
                    <a:stretch>
                      <a:fillRect/>
                    </a:stretch>
                  </pic:blipFill>
                  <pic:spPr>
                    <a:xfrm>
                      <a:off x="0" y="0"/>
                      <a:ext cx="5270500" cy="3493770"/>
                    </a:xfrm>
                    <a:prstGeom prst="rect">
                      <a:avLst/>
                    </a:prstGeom>
                    <a:noFill/>
                    <a:ln>
                      <a:noFill/>
                    </a:ln>
                  </pic:spPr>
                </pic:pic>
              </a:graphicData>
            </a:graphic>
          </wp:inline>
        </w:drawing>
      </w:r>
    </w:p>
    <w:p w14:paraId="76EF0694">
      <w:pPr>
        <w:spacing w:line="300" w:lineRule="auto"/>
        <w:jc w:val="center"/>
        <w:rPr>
          <w:rFonts w:hint="default" w:ascii="Times New Roman Regular" w:hAnsi="Times New Roman Regular" w:cs="Times New Roman Regular" w:eastAsiaTheme="minorEastAsia"/>
          <w:color w:val="0000FF"/>
          <w:lang w:val="en-US" w:eastAsia="zh-CN"/>
        </w:rPr>
      </w:pPr>
      <w:r>
        <w:rPr>
          <w:rFonts w:hint="default" w:ascii="Times New Roman Bold" w:hAnsi="Times New Roman Bold" w:cs="Times New Roman Bold"/>
          <w:b/>
          <w:bCs/>
          <w:color w:val="0000FF"/>
          <w:lang w:val="en-US" w:eastAsia="zh-CN"/>
        </w:rPr>
        <w:t>Fig.23</w:t>
      </w:r>
      <w:r>
        <w:rPr>
          <w:rFonts w:hint="default" w:ascii="Times New Roman Regular" w:hAnsi="Times New Roman Regular" w:cs="Times New Roman Regular"/>
          <w:color w:val="0000FF"/>
          <w:lang w:val="en-US" w:eastAsia="zh-CN"/>
        </w:rPr>
        <w:t xml:space="preserve">. Sensitivity analysis of key parameters during the </w:t>
      </w:r>
      <w:r>
        <w:rPr>
          <w:rFonts w:hint="eastAsia" w:ascii="Times New Roman Regular" w:hAnsi="Times New Roman Regular" w:cs="Times New Roman Regular"/>
          <w:color w:val="0000FF"/>
          <w:lang w:val="en-US" w:eastAsia="zh-CN"/>
        </w:rPr>
        <w:t>dry</w:t>
      </w:r>
      <w:r>
        <w:rPr>
          <w:rFonts w:hint="default" w:ascii="Times New Roman Regular" w:hAnsi="Times New Roman Regular" w:cs="Times New Roman Regular"/>
          <w:color w:val="0000FF"/>
          <w:lang w:val="en-US" w:eastAsia="zh-CN"/>
        </w:rPr>
        <w:t xml:space="preserve"> season.</w:t>
      </w:r>
    </w:p>
    <w:p w14:paraId="4D5E21D7">
      <w:pPr>
        <w:spacing w:line="300" w:lineRule="auto"/>
        <w:ind w:firstLine="420"/>
        <w:rPr>
          <w:rFonts w:ascii="Times New Roman Regular" w:hAnsi="Times New Roman Regular" w:cs="Times New Roman Regular"/>
          <w:color w:val="0000FF"/>
        </w:rPr>
      </w:pPr>
      <w:r>
        <w:rPr>
          <w:rFonts w:hint="default" w:ascii="Times New Roman Regular" w:hAnsi="Times New Roman Regular" w:cs="Times New Roman Regular"/>
          <w:color w:val="0000FF"/>
        </w:rPr>
        <w:t>In the wet season dominated by precipitation dilution and infiltration, the parameter sensitivity pattern was more concentrated</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Fig. 24)</w:t>
      </w:r>
      <w:r>
        <w:rPr>
          <w:rFonts w:hint="default" w:ascii="Times New Roman Regular" w:hAnsi="Times New Roman Regular" w:cs="Times New Roman Regular"/>
          <w:color w:val="0000FF"/>
        </w:rPr>
        <w:t xml:space="preserve">. For the classical RF model, TDS (total-order index 0.2819-0.3179), Salt (0.2565-0.2810), and EC (0.2478-0.2492) maintained an absolute dominant position in global sensitivity across all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gradients, with the sum of their total-order indices exceeding 75% of the total sensitivity of all parameters. The total-order sensitivity of ORP ranked fourth (0.1153-0.1435), which was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 xml:space="preserve">higher than that in the normal and dry seasons, reflecting that the redox potential change caused by rainfall infiltration is a key secondary factor affecting nitrate leaching and migration in the wet season. The sensitivity of pH, T, and DO was extremely low, with total-order indices all below 0.03, indicating that these parameters have limited independent influence on nitrate prediction under the dilution effect of heavy precipitation. The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model showed a consistent sensitivity ranking with the classical RF, and the total-order sensitivity of ORP further increased to 0.1343 after 10</w:t>
      </w:r>
      <w:r>
        <w:rPr>
          <w:rFonts w:hint="default" w:ascii="Times New Roman Regular" w:hAnsi="Times New Roman Regular" w:cs="Times New Roman Regular"/>
          <w:color w:val="0000FF"/>
          <w:lang w:val="en-US"/>
        </w:rPr>
        <w:t>x</w:t>
      </w:r>
      <w:r>
        <w:rPr>
          <w:rFonts w:hint="default"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verifying the reliability of ORP as a key driving parameter in the wet season.</w:t>
      </w:r>
    </w:p>
    <w:p w14:paraId="17230365">
      <w:pPr>
        <w:spacing w:line="300" w:lineRule="auto"/>
        <w:rPr>
          <w:color w:val="0000FF"/>
        </w:rPr>
      </w:pPr>
      <w:r>
        <w:rPr>
          <w:color w:val="0000FF"/>
        </w:rPr>
        <w:drawing>
          <wp:inline distT="0" distB="0" distL="114300" distR="114300">
            <wp:extent cx="5262880" cy="3509010"/>
            <wp:effectExtent l="0" t="0" r="20320" b="2159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15"/>
                    <a:stretch>
                      <a:fillRect/>
                    </a:stretch>
                  </pic:blipFill>
                  <pic:spPr>
                    <a:xfrm>
                      <a:off x="0" y="0"/>
                      <a:ext cx="5262880" cy="3509010"/>
                    </a:xfrm>
                    <a:prstGeom prst="rect">
                      <a:avLst/>
                    </a:prstGeom>
                    <a:noFill/>
                    <a:ln>
                      <a:noFill/>
                    </a:ln>
                  </pic:spPr>
                </pic:pic>
              </a:graphicData>
            </a:graphic>
          </wp:inline>
        </w:drawing>
      </w:r>
    </w:p>
    <w:p w14:paraId="1B208A5D">
      <w:pPr>
        <w:spacing w:line="300" w:lineRule="auto"/>
        <w:jc w:val="center"/>
        <w:rPr>
          <w:rFonts w:hint="default" w:ascii="Times New Roman Regular" w:hAnsi="Times New Roman Regular" w:cs="Times New Roman Regular" w:eastAsiaTheme="minorEastAsia"/>
          <w:color w:val="0000FF"/>
          <w:lang w:val="en-US" w:eastAsia="zh-CN"/>
        </w:rPr>
      </w:pPr>
      <w:r>
        <w:rPr>
          <w:rFonts w:hint="default" w:ascii="Times New Roman Bold" w:hAnsi="Times New Roman Bold" w:cs="Times New Roman Bold"/>
          <w:b/>
          <w:bCs/>
          <w:color w:val="0000FF"/>
          <w:lang w:val="en-US" w:eastAsia="zh-CN"/>
        </w:rPr>
        <w:t>Fig.24</w:t>
      </w:r>
      <w:r>
        <w:rPr>
          <w:rFonts w:hint="default" w:ascii="Times New Roman Regular" w:hAnsi="Times New Roman Regular" w:cs="Times New Roman Regular"/>
          <w:color w:val="0000FF"/>
          <w:lang w:val="en-US" w:eastAsia="zh-CN"/>
        </w:rPr>
        <w:t>. Sensitivity analysis of key parameters during the wet season.</w:t>
      </w:r>
    </w:p>
    <w:p w14:paraId="7AD10586">
      <w:pPr>
        <w:spacing w:line="300" w:lineRule="auto"/>
        <w:rPr>
          <w:color w:val="0000FF"/>
        </w:rPr>
      </w:pPr>
    </w:p>
    <w:p w14:paraId="6F7FE007">
      <w:pPr>
        <w:spacing w:line="300" w:lineRule="auto"/>
        <w:outlineLvl w:val="2"/>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3.</w:t>
      </w:r>
      <w:r>
        <w:rPr>
          <w:rFonts w:hint="default" w:ascii="Times New Roman Regular" w:hAnsi="Times New Roman Regular" w:cs="Times New Roman Regular"/>
          <w:color w:val="0000FF"/>
          <w:lang w:val="en-US"/>
        </w:rPr>
        <w:t>6</w:t>
      </w:r>
      <w:r>
        <w:rPr>
          <w:rFonts w:hint="default" w:ascii="Times New Roman Regular" w:hAnsi="Times New Roman Regular" w:cs="Times New Roman Regular"/>
          <w:color w:val="0000FF"/>
        </w:rPr>
        <w:t>.2 Feature perturbation sensitivity and elasticity analysis</w:t>
      </w:r>
    </w:p>
    <w:p w14:paraId="2F346011">
      <w:pPr>
        <w:spacing w:line="300" w:lineRule="auto"/>
        <w:ind w:firstLine="420"/>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The OAT perturbation test was conducted by fixing other input parameters and varying the target parameter within ±30% of its measured range, to calculate the relative change rate of the model</w:t>
      </w:r>
      <w:r>
        <w:rPr>
          <w:rFonts w:hint="default" w:ascii="Times New Roman Regular" w:hAnsi="Times New Roman Regular" w:cs="Times New Roman Regular"/>
          <w:color w:val="0000FF"/>
          <w:lang w:val="en-US"/>
        </w:rPr>
        <w:t>’</w:t>
      </w:r>
      <w:r>
        <w:rPr>
          <w:rFonts w:hint="default" w:ascii="Times New Roman Regular" w:hAnsi="Times New Roman Regular" w:cs="Times New Roman Regular"/>
          <w:color w:val="0000FF"/>
        </w:rPr>
        <w:t>s predicted output and characterize the direct response of the model to single parameter perturbation. The elasticity coefficient was further introduced to quantify the directional response degree of nitrate concentration prediction to per unit change of each parameter, where an absolute value greater than 1 indicates an elastic response, and less than 1 indicates an inelastic response.</w:t>
      </w:r>
    </w:p>
    <w:p w14:paraId="31BD7021">
      <w:pPr>
        <w:spacing w:line="300" w:lineRule="auto"/>
        <w:ind w:firstLine="420"/>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The OAT perturbation test further verified the stability of the model</w:t>
      </w:r>
      <w:r>
        <w:rPr>
          <w:rFonts w:hint="default" w:ascii="Times New Roman Regular" w:hAnsi="Times New Roman Regular" w:cs="Times New Roman Regular"/>
          <w:color w:val="0000FF"/>
          <w:lang w:val="en-US"/>
        </w:rPr>
        <w:t>’</w:t>
      </w:r>
      <w:r>
        <w:rPr>
          <w:rFonts w:hint="default" w:ascii="Times New Roman Regular" w:hAnsi="Times New Roman Regular" w:cs="Times New Roman Regular"/>
          <w:color w:val="0000FF"/>
        </w:rPr>
        <w:t xml:space="preserve">s response to parameter changes. In the normal season, the perturbation sensitivity of TDS and EC remained above 0.11 for both classical RF and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 xml:space="preserve">models after 10× virtual sample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xml:space="preserve">, which was higher than other parameters. In the dry season, the perturbation sensitivity of pH increased sharply from 0.3033 (original data) to 2.0128 (10×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xml:space="preserve">) for the classical RF model, and from 0.6026 to 1.3757 for the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model, indicating that the model's prediction results are highly sensitive to pH changes in the dry season, which is consistent with the conclusion of the Sobol' index analysis. In the wet season, the perturbation sensitivity of Salt and TDS stabilized at 0.1358 and 0.1616 for the classical RF model after 10</w:t>
      </w:r>
      <w:r>
        <w:rPr>
          <w:rFonts w:hint="default" w:ascii="Times New Roman Regular" w:hAnsi="Times New Roman Regular" w:cs="Times New Roman Regular"/>
          <w:color w:val="0000FF"/>
          <w:lang w:val="en-US"/>
        </w:rPr>
        <w:t>x</w:t>
      </w:r>
      <w:r>
        <w:rPr>
          <w:rFonts w:hint="default"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maintaining the highest response intensity.</w:t>
      </w:r>
    </w:p>
    <w:p w14:paraId="3E75AD9F">
      <w:pPr>
        <w:spacing w:line="300" w:lineRule="auto"/>
        <w:ind w:firstLine="420"/>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The elasticity coefficient analysis quantified the directional response of nitrate concentration prediction to parameter changes. For the classical RF model in the normal season, the elasticity coefficients of T, pH, and EC were all greater than 1, indicating that nitrate concentration has a positive elastic response to the changes of these parameters; while the elasticity coefficient of ORP was only 0.1037, showing an inelastic response. In the dry season, the elasticity coefficient of pH reached 18.5446 (classical RF) and 24.2152 (</w:t>
      </w:r>
      <w:r>
        <w:rPr>
          <w:rFonts w:hint="default" w:ascii="Times New Roman Regular" w:hAnsi="Times New Roman Regular" w:cs="Times New Roman Regular"/>
          <w:color w:val="0000FF"/>
          <w:lang w:val="en-US"/>
        </w:rPr>
        <w:t>quantum-enhanced RF</w:t>
      </w:r>
      <w:r>
        <w:rPr>
          <w:rFonts w:hint="default" w:ascii="Times New Roman Regular" w:hAnsi="Times New Roman Regular" w:cs="Times New Roman Regular"/>
          <w:color w:val="0000FF"/>
        </w:rPr>
        <w:t>) after 10</w:t>
      </w:r>
      <w:r>
        <w:rPr>
          <w:rFonts w:hint="default" w:ascii="Times New Roman Regular" w:hAnsi="Times New Roman Regular" w:cs="Times New Roman Regular"/>
          <w:color w:val="0000FF"/>
          <w:lang w:val="en-US"/>
        </w:rPr>
        <w:t>x</w:t>
      </w:r>
      <w:r>
        <w:rPr>
          <w:rFonts w:hint="default"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showing an extremely strong positive elastic response, which further confirmed that pH is a key sensitive parameter affecting nitrate accumulation in the dry season. In the wet season, the elasticity coefficients of TDS, EC, and Salt were all close to 1, indicating that nitrate concentration has a near-proportional linear response to the changes of these salinity indicators, which is consistent with the dominant dilution effect in the wet season.</w:t>
      </w:r>
    </w:p>
    <w:p w14:paraId="4D8E6CD9">
      <w:pPr>
        <w:spacing w:line="300" w:lineRule="auto"/>
        <w:ind w:firstLine="0"/>
        <w:rPr>
          <w:rFonts w:hint="default" w:ascii="Times New Roman Regular" w:hAnsi="Times New Roman Regular" w:cs="Times New Roman Regular"/>
          <w:color w:val="0000FF"/>
        </w:rPr>
      </w:pPr>
    </w:p>
    <w:p w14:paraId="11DB230D">
      <w:pPr>
        <w:spacing w:line="300" w:lineRule="auto"/>
        <w:ind w:firstLine="0"/>
        <w:outlineLvl w:val="2"/>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3.</w:t>
      </w:r>
      <w:r>
        <w:rPr>
          <w:rFonts w:hint="eastAsia" w:ascii="Times New Roman Regular" w:hAnsi="Times New Roman Regular" w:cs="Times New Roman Regular"/>
          <w:color w:val="0000FF"/>
          <w:lang w:val="en-US" w:eastAsia="zh-CN"/>
        </w:rPr>
        <w:t>6</w:t>
      </w:r>
      <w:r>
        <w:rPr>
          <w:rFonts w:hint="default" w:ascii="Times New Roman Regular" w:hAnsi="Times New Roman Regular" w:cs="Times New Roman Regular"/>
          <w:color w:val="0000FF"/>
        </w:rPr>
        <w:t xml:space="preserve">.3 Impact of virtual sample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on sensitivity estimation</w:t>
      </w:r>
    </w:p>
    <w:p w14:paraId="0383AADE">
      <w:pPr>
        <w:spacing w:line="300" w:lineRule="auto"/>
        <w:ind w:firstLine="420"/>
        <w:rPr>
          <w:rFonts w:hint="default" w:ascii="Times New Roman Regular" w:hAnsi="Times New Roman Regular" w:cs="Times New Roman Regular"/>
          <w:color w:val="0000FF"/>
        </w:rPr>
      </w:pPr>
      <w:r>
        <w:rPr>
          <w:rFonts w:hint="default" w:ascii="Times New Roman Regular" w:hAnsi="Times New Roman Regular" w:cs="Times New Roman Regular"/>
          <w:color w:val="0000FF"/>
          <w:lang w:val="en-US"/>
        </w:rPr>
        <w:t>V</w:t>
      </w:r>
      <w:r>
        <w:rPr>
          <w:rFonts w:hint="default" w:ascii="Times New Roman Regular" w:hAnsi="Times New Roman Regular" w:cs="Times New Roman Regular"/>
          <w:color w:val="0000FF"/>
        </w:rPr>
        <w:t xml:space="preserve">irtual sample </w:t>
      </w:r>
      <w:r>
        <w:rPr>
          <w:rFonts w:hint="eastAsia" w:ascii="Times New Roman Regular" w:hAnsi="Times New Roman Regular" w:cs="Times New Roman Regular"/>
          <w:color w:val="0000FF"/>
          <w:lang w:val="en-US" w:eastAsia="zh-CN"/>
        </w:rPr>
        <w:t xml:space="preserve">generation </w:t>
      </w:r>
      <w:r>
        <w:rPr>
          <w:rFonts w:hint="default" w:ascii="Times New Roman Regular" w:hAnsi="Times New Roman Regular" w:cs="Times New Roman Regular"/>
          <w:color w:val="0000FF"/>
        </w:rPr>
        <w:t>based on the t-SNE-GMM-KNN strategy significantly improved the stability and reliability of parameter sensitivity estimation. For the dry season with the most severe data sparsity, the 95% confidence interval of the Sobol index for TDS in the classical RF model narrowed by 87.9% from the original data to 10</w:t>
      </w:r>
      <w:r>
        <w:rPr>
          <w:rFonts w:hint="default" w:ascii="Times New Roman Regular" w:hAnsi="Times New Roman Regular" w:cs="Times New Roman Regular"/>
          <w:color w:val="0000FF"/>
          <w:lang w:val="en-US"/>
        </w:rPr>
        <w:t>x</w:t>
      </w:r>
      <w:r>
        <w:rPr>
          <w:rFonts w:hint="default"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xml:space="preserve">, and the coefficient of variation of the perturbation sensitivity for each parameter decreased by an average of 62.4%. This indicates that the augmented dataset effectively reduces the variance of sensitivity estimation caused by small samples, and avoids the bias of sensitivity ranking caused by insufficient sample representation. Meanwhile, with the increase of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multiples, the sensitivity ranking of core parameters (TDS, EC, Salt) remained stable, while the sensitivity estimation of secondary parameters (ORP, DO, pH) gradually converged, which further verified that the virtual sample generation strategy does not change the inherent hydrochemical driving mechanism, but only improves the statistical robustness of the model.</w:t>
      </w:r>
    </w:p>
    <w:p w14:paraId="4A7744FB">
      <w:pPr>
        <w:spacing w:line="300" w:lineRule="auto"/>
        <w:ind w:firstLine="420"/>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 xml:space="preserve">In addition, compared with the classical RF model, the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 xml:space="preserve">model showed smaller fluctuations in parameter sensitivity under different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 xml:space="preserve">gradients, especially in the dry season with original data. The coefficient of variation of the total-order Sobol' index for all parameters in the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model was 21.7% lower than that in the classical RF model, indicating that quantum feature encoding enhances the model's robustness to input parameter perturbations, and has better stability in small-sample scenarios.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Overall, the multi-dimensional sensitivity analysis consistently identified TDS, EC, and salinity as the most critical and stable sensitive parameters for nitrate concentration prediction across all hydrological seasons, which is highly consistent with the results of correlation analysis, Bayesian model, and SHAP feature importance analysis. The pH and DO in the dry season, and ORP in the wet season were identified as season-specific key sensitive parameters, which revealed the differentiated driving mechanisms of nitrate dynamics under different hydrological conditions. The sensitivity analysis results further verified the reliability of the model structure and feature selection, and provided a quantitative basis for the optimization of field monitoring indicators and the targeted control of groundwater nitrate pollution.</w:t>
      </w:r>
    </w:p>
    <w:p w14:paraId="505C470F">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p>
    <w:p w14:paraId="60985A2D">
      <w:pPr>
        <w:spacing w:line="300" w:lineRule="auto"/>
        <w:ind w:firstLine="0"/>
        <w:outlineLvl w:val="1"/>
        <w:rPr>
          <w:rFonts w:hint="default" w:ascii="Times New Roman Regular" w:hAnsi="Times New Roman Regular" w:cs="Times New Roman Regular"/>
          <w:color w:val="0000FF"/>
          <w:lang w:val="en-US"/>
        </w:rPr>
      </w:pPr>
      <w:r>
        <w:rPr>
          <w:rFonts w:hint="default" w:ascii="Times New Roman Regular" w:hAnsi="Times New Roman Regular" w:cs="Times New Roman Regular"/>
          <w:color w:val="0000FF"/>
          <w:lang w:val="en-US"/>
        </w:rPr>
        <w:t>4.3 Error propagation under virtual sample</w:t>
      </w:r>
    </w:p>
    <w:p w14:paraId="35ED22AC">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Assuming a coefficient of variation (CV) of 5.0% for input hydrochemical parameters (representing typical instrumental uncertainty), we generated 500 perturbed input realizations and quantified the resulting output uncertainty via standard deviation</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and 95% confidence interval</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 xml:space="preserve"> width of ensemble predictions.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 xml:space="preserve">As illustrated in </w:t>
      </w:r>
      <w:r>
        <w:rPr>
          <w:rFonts w:hint="eastAsia" w:ascii="Times New Roman Regular" w:hAnsi="Times New Roman Regular" w:cs="Times New Roman Regular"/>
          <w:color w:val="0000FF"/>
        </w:rPr>
        <w:t xml:space="preserve">Fig. </w:t>
      </w:r>
      <w:r>
        <w:rPr>
          <w:rFonts w:hint="default" w:ascii="Times New Roman Regular" w:hAnsi="Times New Roman Regular" w:cs="Times New Roman Regular"/>
          <w:color w:val="0000FF"/>
          <w:lang w:val="en-US"/>
        </w:rPr>
        <w:t>25</w:t>
      </w:r>
      <w:r>
        <w:rPr>
          <w:rFonts w:hint="eastAsia" w:ascii="Times New Roman Regular" w:hAnsi="Times New Roman Regular" w:cs="Times New Roman Regular"/>
          <w:color w:val="0000FF"/>
        </w:rPr>
        <w:t xml:space="preserve">, the propagation of input uncertainties exhibits distinct seasonal and model-dependent patterns. During the normal season, both RF and </w:t>
      </w:r>
      <w:r>
        <w:rPr>
          <w:rFonts w:hint="default" w:ascii="Times New Roman Regular" w:hAnsi="Times New Roman Regular" w:cs="Times New Roman Regular"/>
          <w:color w:val="0000FF"/>
          <w:lang w:val="en-US"/>
        </w:rPr>
        <w:t xml:space="preserve">quantum-enhanced RF </w:t>
      </w:r>
      <w:r>
        <w:rPr>
          <w:rFonts w:hint="eastAsia" w:ascii="Times New Roman Regular" w:hAnsi="Times New Roman Regular" w:cs="Times New Roman Regular"/>
          <w:color w:val="0000FF"/>
        </w:rPr>
        <w:t xml:space="preserve">models demonstrated stable uncertainty propagation, with output standard deviations decreasing by 4.5% and 15.8%, respectively, when virtual samples were augmented to 10-fold. This trend suggests that data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effectively constrains uncertainty amplification when the underlying hydrochemical distribution is relatively symmetric</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Dega et al., 2023)</w:t>
      </w:r>
      <w:r>
        <w:rPr>
          <w:rFonts w:hint="eastAsia"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 xml:space="preserve">In contrast, the dry season revealed a critical divergence between the two modeling approaches. For the classical RF, output uncertainty increased substantially with virtual sample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 xml:space="preserve">(σ_out : +48.9%; 95% CI width: +35.9%), reflecting the challenge of modeling highly right-skewed nitrate distributions where extreme values dominate error propagation. </w:t>
      </w:r>
      <w:r>
        <w:rPr>
          <w:rFonts w:hint="default" w:ascii="Times New Roman Regular" w:hAnsi="Times New Roman Regular" w:cs="Times New Roman Regular"/>
          <w:color w:val="0000FF"/>
          <w:lang w:val="en-US"/>
        </w:rPr>
        <w:t>T</w:t>
      </w:r>
      <w:r>
        <w:rPr>
          <w:rFonts w:hint="eastAsia" w:ascii="Times New Roman Regular" w:hAnsi="Times New Roman Regular" w:cs="Times New Roman Regular"/>
          <w:color w:val="0000FF"/>
        </w:rPr>
        <w:t>he hybrid quantum-</w:t>
      </w:r>
      <w:r>
        <w:rPr>
          <w:rFonts w:hint="default" w:ascii="Times New Roman Regular" w:hAnsi="Times New Roman Regular" w:cs="Times New Roman Regular"/>
          <w:color w:val="0000FF"/>
          <w:lang w:val="en-US"/>
        </w:rPr>
        <w:t xml:space="preserve">enhanced </w:t>
      </w:r>
      <w:r>
        <w:rPr>
          <w:rFonts w:hint="eastAsia" w:ascii="Times New Roman Regular" w:hAnsi="Times New Roman Regular" w:cs="Times New Roman Regular"/>
          <w:color w:val="0000FF"/>
        </w:rPr>
        <w:t xml:space="preserve">RF exhibited markedly improved robustness: output standard deviation decreased by 27.9% and 95% CI width narrowed by 20.6% at 10-fold </w:t>
      </w:r>
      <w:r>
        <w:rPr>
          <w:rFonts w:hint="default" w:ascii="Times New Roman Regular" w:hAnsi="Times New Roman Regular" w:cs="Times New Roman Regular"/>
          <w:color w:val="0000FF"/>
          <w:lang w:val="en-US"/>
        </w:rPr>
        <w:t>generation</w:t>
      </w:r>
      <w:r>
        <w:rPr>
          <w:rFonts w:hint="eastAsia" w:ascii="Times New Roman Regular" w:hAnsi="Times New Roman Regular" w:cs="Times New Roman Regular"/>
          <w:color w:val="0000FF"/>
        </w:rPr>
        <w:t>. This finding suggests that quantum feature encoding via Pauli-Z expectation values enhances the model</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s capacity to disentangle complex nonlinear relationships in high-variability regimes, thereby mitigating the amplification of input errors through the prediction pipeline.</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During the wet season, both models achieved low and stable output uncertainties (σ_out &lt; 2.1 mg L</w:t>
      </w:r>
      <w:r>
        <w:rPr>
          <w:rFonts w:hint="default" w:ascii="Times New Roman Regular" w:hAnsi="Times New Roman Regular" w:cs="Times New Roman Regular"/>
          <w:color w:val="0000FF"/>
          <w:vertAlign w:val="superscript"/>
          <w:lang w:val="en-US"/>
        </w:rPr>
        <w:t>-1</w:t>
      </w:r>
      <w:r>
        <w:rPr>
          <w:rFonts w:hint="eastAsia" w:ascii="Times New Roman Regular" w:hAnsi="Times New Roman Regular" w:cs="Times New Roman Regular"/>
          <w:color w:val="0000FF"/>
        </w:rPr>
        <w:t xml:space="preserve"> for RF; &lt; 2.0 mg L</w:t>
      </w:r>
      <w:r>
        <w:rPr>
          <w:rFonts w:hint="default" w:ascii="Times New Roman Regular" w:hAnsi="Times New Roman Regular" w:cs="Times New Roman Regular"/>
          <w:color w:val="0000FF"/>
          <w:vertAlign w:val="superscript"/>
          <w:lang w:val="en-US"/>
        </w:rPr>
        <w:t>-1</w:t>
      </w:r>
      <w:r>
        <w:rPr>
          <w:rFonts w:hint="eastAsia" w:ascii="Times New Roman Regular" w:hAnsi="Times New Roman Regular" w:cs="Times New Roman Regular"/>
          <w:color w:val="0000FF"/>
        </w:rPr>
        <w:t xml:space="preserve"> for </w:t>
      </w:r>
      <w:r>
        <w:rPr>
          <w:rFonts w:hint="default" w:ascii="Times New Roman Regular" w:hAnsi="Times New Roman Regular" w:cs="Times New Roman Regular"/>
          <w:color w:val="0000FF"/>
          <w:lang w:val="en-US"/>
        </w:rPr>
        <w:t xml:space="preserve">quantum-enhanced RF </w:t>
      </w:r>
      <w:r>
        <w:rPr>
          <w:rFonts w:hint="eastAsia" w:ascii="Times New Roman Regular" w:hAnsi="Times New Roman Regular" w:cs="Times New Roman Regular"/>
          <w:color w:val="0000FF"/>
        </w:rPr>
        <w:t>at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w:t>
      </w:r>
      <w:r>
        <w:rPr>
          <w:rFonts w:hint="eastAsia" w:ascii="Times New Roman Regular" w:hAnsi="Times New Roman Regular" w:cs="Times New Roman Regular"/>
          <w:color w:val="0000FF"/>
          <w:lang w:val="en-US" w:eastAsia="zh-CN"/>
        </w:rPr>
        <w:t>generation</w:t>
      </w:r>
      <w:r>
        <w:rPr>
          <w:rFonts w:hint="eastAsia" w:ascii="Times New Roman Regular" w:hAnsi="Times New Roman Regular" w:cs="Times New Roman Regular"/>
          <w:color w:val="0000FF"/>
        </w:rPr>
        <w:t xml:space="preserve">), consistent with the dilution-dominated hydrological conditions that homogenize nitrate concentrations. The </w:t>
      </w:r>
      <w:r>
        <w:rPr>
          <w:rFonts w:hint="default" w:ascii="Times New Roman Regular" w:hAnsi="Times New Roman Regular" w:cs="Times New Roman Regular"/>
          <w:color w:val="0000FF"/>
          <w:lang w:val="en-US"/>
        </w:rPr>
        <w:t xml:space="preserve">quantum-enhanced RF </w:t>
      </w:r>
      <w:r>
        <w:rPr>
          <w:rFonts w:hint="eastAsia" w:ascii="Times New Roman Regular" w:hAnsi="Times New Roman Regular" w:cs="Times New Roman Regular"/>
          <w:color w:val="0000FF"/>
        </w:rPr>
        <w:t>again showed slightly stronger uncertainty suppression (-28.7% vs. -7.8% for RF), though the absolute gains were modest given the inherently lower system variability.</w:t>
      </w:r>
    </w:p>
    <w:p w14:paraId="79E5B55D">
      <w:pPr>
        <w:spacing w:line="300" w:lineRule="auto"/>
        <w:ind w:firstLine="420"/>
        <w:rPr>
          <w:rFonts w:hint="eastAsia" w:ascii="Times New Roman Regular" w:hAnsi="Times New Roman Regular" w:cs="Times New Roman Regular" w:eastAsiaTheme="minorEastAsia"/>
          <w:color w:val="0000FF"/>
          <w:lang w:val="en-US" w:eastAsia="zh-CN"/>
        </w:rPr>
      </w:pPr>
      <w:r>
        <w:rPr>
          <w:rFonts w:hint="eastAsia" w:ascii="Times New Roman Regular" w:hAnsi="Times New Roman Regular" w:cs="Times New Roman Regular"/>
          <w:color w:val="0000FF"/>
        </w:rPr>
        <w:t>These error propagation results validate that the t-SNE-GMM-KNN virtual sample generation strategy not only improves predictive accuracy but also enhances the model</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xml:space="preserve">s resilience to input measurement uncertainties, provided the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 xml:space="preserve">factor is appropriately calibrated to the underlying data distribution complexity. For high-variability seasons (dry season), moderate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(4</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5</w:t>
      </w:r>
      <w:r>
        <w:rPr>
          <w:rFonts w:hint="eastAsia" w:ascii="Times New Roman Regular" w:hAnsi="Times New Roman Regular" w:cs="Times New Roman Regular"/>
          <w:color w:val="0000FF"/>
          <w:lang w:val="en-US" w:eastAsia="zh-CN"/>
        </w:rPr>
        <w:t>x</w:t>
      </w:r>
      <w:r>
        <w:rPr>
          <w:rFonts w:hint="eastAsia" w:ascii="Times New Roman Regular" w:hAnsi="Times New Roman Regular" w:cs="Times New Roman Regular"/>
          <w:color w:val="0000FF"/>
        </w:rPr>
        <w:t xml:space="preserve">) appears optimal for uncertainty reduction, whereas excessive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(&gt;8</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may reintroduce variance in classical models. The hybrid quantum-classical architecture demonstrates particular value in stabilizing error propagation under extreme hydrological conditions, where traditional methods may suffer from uncertainty amplification.</w:t>
      </w:r>
      <w:r>
        <w:rPr>
          <w:rFonts w:hint="eastAsia" w:ascii="Times New Roman Regular" w:hAnsi="Times New Roman Regular" w:cs="Times New Roman Regular"/>
          <w:color w:val="0000FF"/>
          <w:lang w:val="en-US" w:eastAsia="zh-CN"/>
        </w:rPr>
        <w:t xml:space="preserve"> Error propagation analysis provides a quantitative measurement standard beyond conventional accuracy indicators (such as R</w:t>
      </w:r>
      <w:r>
        <w:rPr>
          <w:rFonts w:hint="eastAsia" w:ascii="Times New Roman Regular" w:hAnsi="Times New Roman Regular" w:cs="Times New Roman Regular"/>
          <w:color w:val="0000FF"/>
          <w:vertAlign w:val="superscript"/>
          <w:lang w:val="en-US" w:eastAsia="zh-CN"/>
        </w:rPr>
        <w:t>2</w:t>
      </w:r>
      <w:r>
        <w:rPr>
          <w:rFonts w:hint="eastAsia" w:ascii="Times New Roman Regular" w:hAnsi="Times New Roman Regular" w:cs="Times New Roman Regular"/>
          <w:color w:val="0000FF"/>
          <w:lang w:val="en-US" w:eastAsia="zh-CN"/>
        </w:rPr>
        <w:t>, RMSE) for evaluating the robustness of the model. This is particularly significant in small sample environment modeling, as the risk of overfitting increases in such cases. Secondly, the excellent uncertainty control ability of quan</w:t>
      </w:r>
      <w:r>
        <w:rPr>
          <w:rFonts w:hint="default" w:ascii="Times New Roman Regular" w:hAnsi="Times New Roman Regular" w:cs="Times New Roman Regular"/>
          <w:color w:val="0000FF"/>
          <w:lang w:val="en-US" w:eastAsia="zh-CN"/>
        </w:rPr>
        <w:t xml:space="preserve">tum-enhanced RF </w:t>
      </w:r>
      <w:r>
        <w:rPr>
          <w:rFonts w:hint="eastAsia" w:ascii="Times New Roman Regular" w:hAnsi="Times New Roman Regular" w:cs="Times New Roman Regular"/>
          <w:color w:val="0000FF"/>
          <w:lang w:val="en-US" w:eastAsia="zh-CN"/>
        </w:rPr>
        <w:t>in the dry season validates the theoretical advantages of the quantum-enhanced feature space in capturing heavy-tailed, nonlinear geological chemical processes. Finally, the seasonal uncertainty model reinforces the necessity of a hydrological seasonal hierarchical modeling framework for predicting groundwater nitrate, as a single unified model may not adequately represent the complex error structure under different hydrological conditions.</w:t>
      </w:r>
    </w:p>
    <w:p w14:paraId="50F5988B">
      <w:pPr>
        <w:spacing w:line="300" w:lineRule="auto"/>
        <w:ind w:firstLine="0"/>
        <w:rPr>
          <w:color w:val="0000FF"/>
        </w:rPr>
      </w:pPr>
      <w:r>
        <w:rPr>
          <w:color w:val="0000FF"/>
        </w:rPr>
        <w:drawing>
          <wp:inline distT="0" distB="0" distL="114300" distR="114300">
            <wp:extent cx="5261610" cy="3507740"/>
            <wp:effectExtent l="0" t="0" r="21590" b="228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5261610" cy="3507740"/>
                    </a:xfrm>
                    <a:prstGeom prst="rect">
                      <a:avLst/>
                    </a:prstGeom>
                    <a:noFill/>
                    <a:ln>
                      <a:noFill/>
                    </a:ln>
                  </pic:spPr>
                </pic:pic>
              </a:graphicData>
            </a:graphic>
          </wp:inline>
        </w:drawing>
      </w:r>
    </w:p>
    <w:p w14:paraId="3B40D5D9">
      <w:pPr>
        <w:spacing w:line="300" w:lineRule="auto"/>
        <w:ind w:firstLine="0"/>
        <w:jc w:val="center"/>
        <w:rPr>
          <w:rFonts w:hint="default" w:ascii="Times New Roman Regular" w:hAnsi="Times New Roman Regular" w:cs="Times New Roman Regular"/>
          <w:color w:val="0000FF"/>
          <w:lang w:val="en-US"/>
        </w:rPr>
      </w:pPr>
      <w:r>
        <w:rPr>
          <w:rFonts w:hint="default" w:ascii="Times New Roman Bold" w:hAnsi="Times New Roman Bold" w:cs="Times New Roman Bold"/>
          <w:b/>
          <w:bCs/>
          <w:color w:val="0000FF"/>
          <w:lang w:val="en-US"/>
        </w:rPr>
        <w:t>Fig. 25</w:t>
      </w:r>
      <w:r>
        <w:rPr>
          <w:rFonts w:hint="default" w:ascii="Times New Roman Regular" w:hAnsi="Times New Roman Regular" w:cs="Times New Roman Regular"/>
          <w:color w:val="0000FF"/>
          <w:lang w:val="en-US"/>
        </w:rPr>
        <w:t>. Variation of output standard deviation of classical Random Forest and quantum-enhanced Random Forest with virtual sample generation multiples under 5% input coefficient of variation in normal, dry and wet seasons.</w:t>
      </w:r>
    </w:p>
    <w:p w14:paraId="1AFF98EE">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color w:val="0000FF"/>
          <w:lang w:val="en-US" w:eastAsia="zh-CN"/>
        </w:rPr>
      </w:pPr>
    </w:p>
    <w:p w14:paraId="4A62EB54">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p>
    <w:p w14:paraId="0CE095D1">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Page 11–13</w:t>
      </w:r>
      <w:r>
        <w:rPr>
          <w:rFonts w:hint="default" w:ascii="Times New Roman Regular" w:hAnsi="Times New Roman Regular" w:cs="Times New Roman Regular"/>
          <w:lang w:val="en-US" w:eastAsia="zh-CN"/>
        </w:rPr>
        <w:t xml:space="preserve">. </w:t>
      </w:r>
      <w:r>
        <w:rPr>
          <w:rFonts w:hint="default" w:ascii="Times New Roman Regular" w:hAnsi="Times New Roman Regular" w:cs="Times New Roman Regular" w:eastAsiaTheme="minorEastAsia"/>
          <w:lang w:val="en-US" w:eastAsia="zh-CN"/>
        </w:rPr>
        <w:t>The discussion includes causal interpretations that are not fully supported by the presented data. Correlation-based findings are occasionally interpreted mechanistically without experimental evidence.</w:t>
      </w:r>
    </w:p>
    <w:p w14:paraId="70725F4F">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eastAsiaTheme="minorEastAsia"/>
          <w:lang w:val="en-US" w:eastAsia="zh-CN"/>
        </w:rPr>
        <w:t>Please revise the language to avoid overstatement and clearly distinguish between Observed correlation, Hypothesized mechanism and Established causality</w:t>
      </w:r>
      <w:r>
        <w:rPr>
          <w:rFonts w:hint="default" w:ascii="Times New Roman Regular" w:hAnsi="Times New Roman Regular" w:cs="Times New Roman Regular"/>
          <w:lang w:val="en-US" w:eastAsia="zh-CN"/>
        </w:rPr>
        <w:t>.</w:t>
      </w:r>
    </w:p>
    <w:p w14:paraId="5C006B44">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lang w:val="en-US" w:eastAsia="zh-CN"/>
        </w:rPr>
      </w:pPr>
    </w:p>
    <w:p w14:paraId="11A1DAFB">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agree that distinguishing between observed correlations, hypothesized mechanisms, and established causality is essential for scientific rigor, particularly in environmental modeling studies where direct experimental evidence for subsurface processes may be limited.</w:t>
      </w:r>
    </w:p>
    <w:p w14:paraId="3A9272B0">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In accordance with your suggestion, we have carefully revised the Discussion section to temper causal language and more accurately reflect the inferential nature of our findings.</w:t>
      </w:r>
    </w:p>
    <w:p w14:paraId="6244A84C">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color w:val="0000FF"/>
          <w:lang w:val="en-US" w:eastAsia="zh-CN"/>
        </w:rPr>
      </w:pPr>
    </w:p>
    <w:p w14:paraId="57BBCCDF">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28AE278B">
      <w:pPr>
        <w:spacing w:line="300" w:lineRule="auto"/>
        <w:outlineLvl w:val="1"/>
        <w:rPr>
          <w:rFonts w:hint="eastAsia" w:ascii="Times New Roman Regular" w:hAnsi="Times New Roman Regular" w:cs="Times New Roman Regular"/>
          <w:color w:val="0000FF"/>
        </w:rPr>
      </w:pPr>
      <w:r>
        <w:rPr>
          <w:rFonts w:hint="default" w:ascii="Times New Roman Regular" w:hAnsi="Times New Roman Regular" w:cs="Times New Roman Regular"/>
          <w:color w:val="0000FF"/>
          <w:lang w:val="en-US"/>
        </w:rPr>
        <w:t xml:space="preserve">4.1 </w:t>
      </w:r>
      <w:r>
        <w:rPr>
          <w:rFonts w:hint="eastAsia" w:ascii="Times New Roman Regular" w:hAnsi="Times New Roman Regular" w:cs="Times New Roman Regular"/>
          <w:color w:val="0000FF"/>
        </w:rPr>
        <w:t xml:space="preserve">Nitrogen </w:t>
      </w:r>
      <w:r>
        <w:rPr>
          <w:rFonts w:hint="eastAsia" w:ascii="Times New Roman Regular" w:hAnsi="Times New Roman Regular" w:cs="Times New Roman Regular"/>
          <w:color w:val="0000FF"/>
          <w:lang w:val="en-US" w:eastAsia="zh-CN"/>
        </w:rPr>
        <w:t>s</w:t>
      </w:r>
      <w:r>
        <w:rPr>
          <w:rFonts w:hint="eastAsia" w:ascii="Times New Roman Regular" w:hAnsi="Times New Roman Regular" w:cs="Times New Roman Regular"/>
          <w:color w:val="0000FF"/>
        </w:rPr>
        <w:t xml:space="preserve">ources, </w:t>
      </w:r>
      <w:r>
        <w:rPr>
          <w:rFonts w:hint="default" w:ascii="Times New Roman Regular" w:hAnsi="Times New Roman Regular" w:cs="Times New Roman Regular"/>
          <w:color w:val="0000FF"/>
          <w:lang w:val="en-US"/>
        </w:rPr>
        <w:t>m</w:t>
      </w:r>
      <w:r>
        <w:rPr>
          <w:rFonts w:hint="eastAsia" w:ascii="Times New Roman Regular" w:hAnsi="Times New Roman Regular" w:cs="Times New Roman Regular"/>
          <w:color w:val="0000FF"/>
        </w:rPr>
        <w:t xml:space="preserve">igration, and </w:t>
      </w:r>
      <w:r>
        <w:rPr>
          <w:rFonts w:hint="default" w:ascii="Times New Roman Regular" w:hAnsi="Times New Roman Regular" w:cs="Times New Roman Regular"/>
          <w:color w:val="0000FF"/>
          <w:lang w:val="en-US"/>
        </w:rPr>
        <w:t>t</w:t>
      </w:r>
      <w:r>
        <w:rPr>
          <w:rFonts w:hint="eastAsia" w:ascii="Times New Roman Regular" w:hAnsi="Times New Roman Regular" w:cs="Times New Roman Regular"/>
          <w:color w:val="0000FF"/>
        </w:rPr>
        <w:t>ransformation</w:t>
      </w:r>
    </w:p>
    <w:p w14:paraId="2E63FA76">
      <w:pPr>
        <w:spacing w:line="300" w:lineRule="auto"/>
        <w:ind w:firstLine="420"/>
        <w:outlineLvl w:val="9"/>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The Piper diagram indicates that the hydrochemical type is predominantly Ca</w:t>
      </w:r>
      <w:r>
        <w:rPr>
          <w:rFonts w:hint="default" w:ascii="Times New Roman Regular" w:hAnsi="Times New Roman Regular" w:cs="Times New Roman Regular"/>
          <w:color w:val="0000FF"/>
          <w:lang w:val="en-US"/>
        </w:rPr>
        <w:t>-Mg-HCO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eastAsia" w:ascii="Times New Roman Regular" w:hAnsi="Times New Roman Regular" w:cs="Times New Roman Regular"/>
          <w:color w:val="0000FF"/>
        </w:rPr>
        <w:t>. The Gibbs diagram and ion ratios are consistent with the hydrochemical background is dominated by carbonate rock dissolution, with weak cation exchange</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Liu</w:t>
      </w:r>
      <w:r>
        <w:rPr>
          <w:rFonts w:hint="default" w:ascii="Times New Roman Regular" w:hAnsi="Times New Roman Regular" w:cs="Times New Roman Regular"/>
          <w:color w:val="0000FF"/>
          <w:lang w:val="en-US"/>
        </w:rPr>
        <w:t xml:space="preserve"> et al., 2025)</w:t>
      </w:r>
      <w:r>
        <w:rPr>
          <w:rFonts w:hint="eastAsia" w:ascii="Times New Roman Regular" w:hAnsi="Times New Roman Regular" w:cs="Times New Roman Regular"/>
          <w:color w:val="0000FF"/>
        </w:rPr>
        <w:t>. Concentrated precipitation during the rainy season coincides with reduced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concentrations (mean: 27.14 mg L</w:t>
      </w:r>
      <w:r>
        <w:rPr>
          <w:rFonts w:hint="eastAsia"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This pattern suggests that surface manure may leach into groundwater with rainfall</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Sun et al., 2024</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xml:space="preserve"> Concurrently, enhanced cation exchange appears to reflect improved temporary retention capacity for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in the aquifer</w:t>
      </w:r>
      <w:r>
        <w:rPr>
          <w:rFonts w:hint="default" w:ascii="Times New Roman Regular" w:hAnsi="Times New Roman Regular" w:cs="Times New Roman Regular"/>
          <w:color w:val="0000FF"/>
          <w:vertAlign w:val="superscript"/>
          <w:lang w:val="en-US"/>
        </w:rPr>
        <w:t xml:space="preserve"> </w:t>
      </w:r>
      <w:r>
        <w:rPr>
          <w:rFonts w:hint="default" w:ascii="Times New Roman Regular" w:hAnsi="Times New Roman Regular" w:cs="Times New Roman Regular"/>
          <w:color w:val="0000FF"/>
          <w:vertAlign w:val="baseline"/>
          <w:lang w:val="en-US"/>
        </w:rPr>
        <w:t>(</w:t>
      </w:r>
      <w:r>
        <w:rPr>
          <w:rFonts w:hint="default" w:ascii="Times New Roman Regular" w:hAnsi="Times New Roman Regular" w:cs="Times New Roman Regular"/>
          <w:color w:val="0000FF"/>
          <w:lang w:val="en-US" w:eastAsia="zh-CN"/>
        </w:rPr>
        <w:t>Wang et al., 2025</w:t>
      </w:r>
      <w:r>
        <w:rPr>
          <w:rFonts w:hint="default" w:ascii="Times New Roman Regular" w:hAnsi="Times New Roman Regular" w:cs="Times New Roman Regular"/>
          <w:color w:val="0000FF"/>
          <w:vertAlign w:val="baseline"/>
          <w:lang w:val="en-US"/>
        </w:rPr>
        <w:t>)</w:t>
      </w:r>
      <w:r>
        <w:rPr>
          <w:rFonts w:hint="eastAsia"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Isotopic evidence and MixSIAR source apportionment are consistent with the interpretation that the primary sources of nitrate pollution are domestic sewage and manure (DSM, 74.1%) and soil organic nitrogen (SON, 20.9%), whereas contributions from chemical fertilizers and precipitation are minimal</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Stock et al., 2018; Mao et al., 2023)</w:t>
      </w:r>
      <w:r>
        <w:rPr>
          <w:rFonts w:hint="eastAsia" w:ascii="Times New Roman Regular" w:hAnsi="Times New Roman Regular" w:cs="Times New Roman Regular"/>
          <w:color w:val="0000FF"/>
        </w:rPr>
        <w:t>. This distribution implies that, in the study area, direct fertilizer leaching may not be the dominant pathway; instead, fertilizer nitrogen likely remains in the soil-vadose zone and enters groundwater through long-term water drive</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Wang et al., 2025</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Given that the vadose zone thickness in the North China Plain generally exceeds 10 m, the currently elevated 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eastAsia" w:ascii="Times New Roman Regular" w:hAnsi="Times New Roman Regular" w:cs="Times New Roman Regular"/>
          <w:color w:val="0000FF"/>
        </w:rPr>
        <w:t xml:space="preserve"> levels are more likely derived from historical fertilizer residues and the long-term infiltration of manure, particularly as the farmlands in the study area are situated near rural residential areas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Wu et al., 2024</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xml:space="preserve">. The mean </w:t>
      </w:r>
      <w:r>
        <w:rPr>
          <w:rStyle w:val="9"/>
          <w:rFonts w:eastAsia="宋体"/>
          <w:color w:val="0000FF"/>
          <w:sz w:val="21"/>
          <w:szCs w:val="21"/>
          <w:lang w:bidi="ar"/>
        </w:rPr>
        <w:t>δ</w:t>
      </w:r>
      <w:r>
        <w:rPr>
          <w:rStyle w:val="10"/>
          <w:rFonts w:ascii="Times New Roman Regular" w:hAnsi="Times New Roman Regular" w:eastAsia="宋体" w:cs="Times New Roman Regular"/>
          <w:b w:val="0"/>
          <w:bCs w:val="0"/>
          <w:color w:val="0000FF"/>
          <w:sz w:val="21"/>
          <w:szCs w:val="21"/>
          <w:vertAlign w:val="superscript"/>
          <w:lang w:bidi="ar"/>
        </w:rPr>
        <w:t>15</w:t>
      </w:r>
      <w:r>
        <w:rPr>
          <w:rStyle w:val="9"/>
          <w:rFonts w:eastAsia="宋体"/>
          <w:color w:val="0000FF"/>
          <w:sz w:val="21"/>
          <w:szCs w:val="21"/>
          <w:lang w:bidi="ar"/>
        </w:rPr>
        <w:t>N-</w:t>
      </w:r>
      <w:r>
        <w:rPr>
          <w:rFonts w:ascii="Times New Roman Regular" w:hAnsi="Times New Roman Regular" w:cs="Times New Roman Regular"/>
          <w:color w:val="0000FF"/>
          <w:szCs w:val="21"/>
        </w:rPr>
        <w:t>NO</w:t>
      </w:r>
      <w:r>
        <w:rPr>
          <w:rFonts w:ascii="Times New Roman Regular" w:hAnsi="Times New Roman Regular" w:cs="Times New Roman Regular"/>
          <w:color w:val="0000FF"/>
          <w:szCs w:val="21"/>
          <w:vertAlign w:val="subscript"/>
        </w:rPr>
        <w:t>3</w:t>
      </w:r>
      <w:r>
        <w:rPr>
          <w:rFonts w:ascii="Times New Roman Regular" w:hAnsi="Times New Roman Regular" w:cs="Times New Roman Regular"/>
          <w:color w:val="0000FF"/>
          <w:szCs w:val="21"/>
          <w:vertAlign w:val="superscript"/>
        </w:rPr>
        <w:t>-</w:t>
      </w:r>
      <w:r>
        <w:rPr>
          <w:rFonts w:hint="eastAsia" w:ascii="Times New Roman Regular" w:hAnsi="Times New Roman Regular" w:cs="Times New Roman Regular"/>
          <w:color w:val="0000FF"/>
        </w:rPr>
        <w:t xml:space="preserve"> values range from 12.2‰ to 18.2‰, which far exceeds the typical range for chemical fertilizers but closely matches that of manure and soil organic nitrogen. This isotopic signature supports the interpretation that nitrogen has undergone microbial mineralization and nitrification processes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 xml:space="preserve">Li et al., 2022). Previous studies demonstrate that SON can be converted to </w:t>
      </w:r>
      <w:r>
        <w:rPr>
          <w:rFonts w:ascii="Times New Roman Regular" w:hAnsi="Times New Roman Regular" w:cs="Times New Roman Regular"/>
          <w:color w:val="0000FF"/>
          <w:szCs w:val="21"/>
        </w:rPr>
        <w:t>NO</w:t>
      </w:r>
      <w:r>
        <w:rPr>
          <w:rFonts w:ascii="Times New Roman Regular" w:hAnsi="Times New Roman Regular" w:cs="Times New Roman Regular"/>
          <w:color w:val="0000FF"/>
          <w:szCs w:val="21"/>
          <w:vertAlign w:val="subscript"/>
        </w:rPr>
        <w:t>3</w:t>
      </w:r>
      <w:r>
        <w:rPr>
          <w:rFonts w:ascii="Times New Roman Regular" w:hAnsi="Times New Roman Regular" w:cs="Times New Roman Regular"/>
          <w:color w:val="0000FF"/>
          <w:szCs w:val="21"/>
          <w:vertAlign w:val="superscript"/>
        </w:rPr>
        <w:t>-</w:t>
      </w:r>
      <w:r>
        <w:rPr>
          <w:rFonts w:hint="default" w:ascii="Times New Roman Regular" w:hAnsi="Times New Roman Regular" w:cs="Times New Roman Regular"/>
          <w:color w:val="0000FF"/>
          <w:lang w:val="en-US"/>
        </w:rPr>
        <w:t xml:space="preserve"> through ammonification followed by nitrification under aerobic conditions, while ammonium from DSM may also enter groundwater via nitrification (</w:t>
      </w:r>
      <w:r>
        <w:rPr>
          <w:rFonts w:hint="default" w:ascii="Times New Roman Regular" w:hAnsi="Times New Roman Regular" w:cs="Times New Roman Regular"/>
          <w:color w:val="0000FF"/>
          <w:lang w:val="en-US" w:eastAsia="zh-CN"/>
        </w:rPr>
        <w:t>Liu et al., 2023; Ahmed et al., 2013</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w:t>
      </w:r>
    </w:p>
    <w:p w14:paraId="60A62D05">
      <w:pPr>
        <w:spacing w:line="300" w:lineRule="auto"/>
        <w:ind w:firstLine="420"/>
        <w:outlineLvl w:val="9"/>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Seasonal variation in nitrate concentrations appears to reflect scarce precipitation and strong evaporation during the dry season</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Zhu et al., 2025)</w:t>
      </w:r>
      <w:r>
        <w:rPr>
          <w:rFonts w:hint="eastAsia" w:ascii="Times New Roman Regular" w:hAnsi="Times New Roman Regular" w:cs="Times New Roman Regular"/>
          <w:color w:val="0000FF"/>
        </w:rPr>
        <w:t xml:space="preserve">. These conditions are associated with declining groundwater levels and reduced flow velocity, potentially creating a positive migration potential gradient. Consequently, </w:t>
      </w:r>
      <w:r>
        <w:rPr>
          <w:rFonts w:ascii="Times New Roman Regular" w:hAnsi="Times New Roman Regular" w:cs="Times New Roman Regular"/>
          <w:color w:val="0000FF"/>
          <w:szCs w:val="21"/>
        </w:rPr>
        <w:t>NO</w:t>
      </w:r>
      <w:r>
        <w:rPr>
          <w:rFonts w:ascii="Times New Roman Regular" w:hAnsi="Times New Roman Regular" w:cs="Times New Roman Regular"/>
          <w:color w:val="0000FF"/>
          <w:szCs w:val="21"/>
          <w:vertAlign w:val="subscript"/>
        </w:rPr>
        <w:t>3</w:t>
      </w:r>
      <w:r>
        <w:rPr>
          <w:rFonts w:ascii="Times New Roman Regular" w:hAnsi="Times New Roman Regular" w:cs="Times New Roman Regular"/>
          <w:color w:val="0000FF"/>
          <w:szCs w:val="21"/>
          <w:vertAlign w:val="superscript"/>
        </w:rPr>
        <w:t>-</w:t>
      </w:r>
      <w:r>
        <w:rPr>
          <w:rFonts w:hint="eastAsia"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 xml:space="preserve">may </w:t>
      </w:r>
      <w:r>
        <w:rPr>
          <w:rFonts w:hint="eastAsia" w:ascii="Times New Roman Regular" w:hAnsi="Times New Roman Regular" w:cs="Times New Roman Regular"/>
          <w:color w:val="0000FF"/>
        </w:rPr>
        <w:t>accumulate in the discharge areas along with the groundwater flow. Additionally, reduced cation exchange activity evidenced by weakened Na</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adsorption and relative Ca</w:t>
      </w:r>
      <w:r>
        <w:rPr>
          <w:rFonts w:hint="eastAsia" w:ascii="Times New Roman Regular" w:hAnsi="Times New Roman Regular" w:cs="Times New Roman Regular"/>
          <w:color w:val="0000FF"/>
          <w:vertAlign w:val="superscript"/>
        </w:rPr>
        <w:t>2+</w:t>
      </w:r>
      <w:r>
        <w:rPr>
          <w:rFonts w:hint="eastAsia" w:ascii="Times New Roman Regular" w:hAnsi="Times New Roman Regular" w:cs="Times New Roman Regular"/>
          <w:color w:val="0000FF"/>
        </w:rPr>
        <w:t xml:space="preserve"> depletion</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 xml:space="preserve">suggests decreased aquifer retention capacity for </w:t>
      </w:r>
      <w:r>
        <w:rPr>
          <w:rFonts w:ascii="Times New Roman Regular" w:hAnsi="Times New Roman Regular" w:cs="Times New Roman Regular"/>
          <w:color w:val="0000FF"/>
          <w:szCs w:val="21"/>
        </w:rPr>
        <w:t>NO</w:t>
      </w:r>
      <w:r>
        <w:rPr>
          <w:rFonts w:ascii="Times New Roman Regular" w:hAnsi="Times New Roman Regular" w:cs="Times New Roman Regular"/>
          <w:color w:val="0000FF"/>
          <w:szCs w:val="21"/>
          <w:vertAlign w:val="subscript"/>
        </w:rPr>
        <w:t>3</w:t>
      </w:r>
      <w:r>
        <w:rPr>
          <w:rFonts w:ascii="Times New Roman Regular" w:hAnsi="Times New Roman Regular" w:cs="Times New Roman Regular"/>
          <w:color w:val="0000FF"/>
          <w:szCs w:val="21"/>
          <w:vertAlign w:val="superscript"/>
        </w:rPr>
        <w:t>-</w:t>
      </w:r>
      <w:r>
        <w:rPr>
          <w:rFonts w:hint="eastAsia" w:ascii="Times New Roman Regular" w:hAnsi="Times New Roman Regular" w:cs="Times New Roman Regular"/>
          <w:color w:val="0000FF"/>
        </w:rPr>
        <w:t>, potentially rendering accumulation the dominant process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 xml:space="preserve">Zhang et al., 2023; </w:t>
      </w:r>
      <w:r>
        <w:rPr>
          <w:rFonts w:hint="default" w:ascii="Times New Roman Regular" w:hAnsi="Times New Roman Regular" w:cs="Times New Roman Regular"/>
          <w:color w:val="0000FF"/>
          <w:lang w:val="en-US" w:eastAsia="zh-CN"/>
        </w:rPr>
        <w:t>Ahmed et al., 2013</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In contrast, concentrated precipitation during the wet season is associated with rapid infiltration, raising groundwater levels and increasing flow velocity, conditions under which cation exchange becomes active</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Zhang et al., 2023</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Groundwater generally exhibits oxidizing conditions, as evidenced by extremely low </w:t>
      </w:r>
      <w:r>
        <w:rPr>
          <w:rFonts w:ascii="Times New Roman Regular" w:hAnsi="Times New Roman Regular" w:cs="Times New Roman Regular"/>
          <w:color w:val="0000FF"/>
          <w:szCs w:val="21"/>
        </w:rPr>
        <w:t>NO</w:t>
      </w:r>
      <w:r>
        <w:rPr>
          <w:rFonts w:ascii="Times New Roman Regular" w:hAnsi="Times New Roman Regular" w:cs="Times New Roman Regular"/>
          <w:color w:val="0000FF"/>
          <w:szCs w:val="21"/>
          <w:vertAlign w:val="subscript"/>
        </w:rPr>
        <w:t>3</w:t>
      </w:r>
      <w:r>
        <w:rPr>
          <w:rFonts w:ascii="Times New Roman Regular" w:hAnsi="Times New Roman Regular" w:cs="Times New Roman Regular"/>
          <w:color w:val="0000FF"/>
          <w:szCs w:val="21"/>
          <w:vertAlign w:val="superscript"/>
        </w:rPr>
        <w:t>-</w:t>
      </w:r>
      <w:r>
        <w:rPr>
          <w:rFonts w:hint="default" w:ascii="Times New Roman Regular" w:hAnsi="Times New Roman Regular" w:cs="Times New Roman Regular"/>
          <w:color w:val="0000FF"/>
          <w:lang w:val="en-US"/>
        </w:rPr>
        <w:t xml:space="preserve"> (&lt;0.11 mg L</w:t>
      </w:r>
      <w:r>
        <w:rPr>
          <w:rFonts w:hint="default" w:ascii="Times New Roman Regular" w:hAnsi="Times New Roman Regular" w:cs="Times New Roman Regular"/>
          <w:color w:val="0000FF"/>
          <w:vertAlign w:val="superscript"/>
          <w:lang w:val="en-US"/>
        </w:rPr>
        <w:t>-1</w:t>
      </w:r>
      <w:r>
        <w:rPr>
          <w:rFonts w:hint="default" w:ascii="Times New Roman Regular" w:hAnsi="Times New Roman Regular" w:cs="Times New Roman Regular"/>
          <w:color w:val="0000FF"/>
          <w:lang w:val="en-US"/>
        </w:rPr>
        <w:t>) and NH</w:t>
      </w:r>
      <w:r>
        <w:rPr>
          <w:rFonts w:hint="default" w:ascii="Times New Roman Regular" w:hAnsi="Times New Roman Regular" w:cs="Times New Roman Regular"/>
          <w:color w:val="0000FF"/>
          <w:vertAlign w:val="subscript"/>
          <w:lang w:val="en-US"/>
        </w:rPr>
        <w:t>4</w:t>
      </w:r>
      <w:r>
        <w:rPr>
          <w:rFonts w:hint="default" w:ascii="Times New Roman Regular" w:hAnsi="Times New Roman Regular" w:cs="Times New Roman Regular"/>
          <w:color w:val="0000FF"/>
          <w:vertAlign w:val="superscript"/>
          <w:lang w:val="en-US"/>
        </w:rPr>
        <w:t>+</w:t>
      </w:r>
      <w:r>
        <w:rPr>
          <w:rFonts w:hint="default" w:ascii="Times New Roman Regular" w:hAnsi="Times New Roman Regular" w:cs="Times New Roman Regular"/>
          <w:color w:val="0000FF"/>
          <w:lang w:val="en-US"/>
        </w:rPr>
        <w:t xml:space="preserve"> (&lt;0.16 mg L</w:t>
      </w:r>
      <w:r>
        <w:rPr>
          <w:rFonts w:hint="default" w:ascii="Times New Roman Regular" w:hAnsi="Times New Roman Regular" w:cs="Times New Roman Regular"/>
          <w:color w:val="0000FF"/>
          <w:vertAlign w:val="superscript"/>
          <w:lang w:val="en-US"/>
        </w:rPr>
        <w:t>-1</w:t>
      </w:r>
      <w:r>
        <w:rPr>
          <w:rFonts w:hint="default" w:ascii="Times New Roman Regular" w:hAnsi="Times New Roman Regular" w:cs="Times New Roman Regular"/>
          <w:color w:val="0000FF"/>
          <w:lang w:val="en-US"/>
        </w:rPr>
        <w:t>) concentrations</w:t>
      </w:r>
      <w:r>
        <w:rPr>
          <w:rFonts w:hint="eastAsia" w:ascii="Times New Roman Regular" w:hAnsi="Times New Roman Regular" w:cs="Times New Roman Regular"/>
          <w:color w:val="0000FF"/>
        </w:rPr>
        <w:t xml:space="preserve">. This redox state suggests that the majority of the area maintains an oxidative environment conducive to </w:t>
      </w:r>
      <w:r>
        <w:rPr>
          <w:rFonts w:ascii="Times New Roman Regular" w:hAnsi="Times New Roman Regular" w:cs="Times New Roman Regular"/>
          <w:color w:val="0000FF"/>
          <w:szCs w:val="21"/>
        </w:rPr>
        <w:t>NO</w:t>
      </w:r>
      <w:r>
        <w:rPr>
          <w:rFonts w:ascii="Times New Roman Regular" w:hAnsi="Times New Roman Regular" w:cs="Times New Roman Regular"/>
          <w:color w:val="0000FF"/>
          <w:szCs w:val="21"/>
          <w:vertAlign w:val="subscript"/>
        </w:rPr>
        <w:t>3</w:t>
      </w:r>
      <w:r>
        <w:rPr>
          <w:rFonts w:ascii="Times New Roman Regular" w:hAnsi="Times New Roman Regular" w:cs="Times New Roman Regular"/>
          <w:color w:val="0000FF"/>
          <w:szCs w:val="21"/>
          <w:vertAlign w:val="superscript"/>
        </w:rPr>
        <w:t>-</w:t>
      </w:r>
      <w:r>
        <w:rPr>
          <w:rFonts w:hint="eastAsia" w:ascii="Times New Roman Regular" w:hAnsi="Times New Roman Regular" w:cs="Times New Roman Regular"/>
          <w:color w:val="0000FF"/>
        </w:rPr>
        <w:t xml:space="preserve"> stability. The </w:t>
      </w:r>
      <w:r>
        <w:rPr>
          <w:rStyle w:val="9"/>
          <w:rFonts w:eastAsia="宋体"/>
          <w:color w:val="0000FF"/>
          <w:sz w:val="21"/>
          <w:szCs w:val="21"/>
          <w:lang w:bidi="ar"/>
        </w:rPr>
        <w:t>δ</w:t>
      </w:r>
      <w:r>
        <w:rPr>
          <w:rStyle w:val="10"/>
          <w:rFonts w:ascii="Times New Roman Regular" w:hAnsi="Times New Roman Regular" w:eastAsia="宋体" w:cs="Times New Roman Regular"/>
          <w:b w:val="0"/>
          <w:bCs w:val="0"/>
          <w:color w:val="0000FF"/>
          <w:sz w:val="21"/>
          <w:szCs w:val="21"/>
          <w:vertAlign w:val="superscript"/>
          <w:lang w:bidi="ar"/>
        </w:rPr>
        <w:t>1</w:t>
      </w:r>
      <w:r>
        <w:rPr>
          <w:rStyle w:val="10"/>
          <w:rFonts w:hint="default" w:ascii="Times New Roman Regular" w:hAnsi="Times New Roman Regular" w:eastAsia="宋体" w:cs="Times New Roman Regular"/>
          <w:b w:val="0"/>
          <w:bCs w:val="0"/>
          <w:color w:val="0000FF"/>
          <w:sz w:val="21"/>
          <w:szCs w:val="21"/>
          <w:vertAlign w:val="superscript"/>
          <w:lang w:val="en-US" w:bidi="ar"/>
        </w:rPr>
        <w:t>8</w:t>
      </w:r>
      <w:r>
        <w:rPr>
          <w:rStyle w:val="10"/>
          <w:rFonts w:hint="default" w:ascii="Times New Roman Regular" w:hAnsi="Times New Roman Regular" w:eastAsia="宋体" w:cs="Times New Roman Regular"/>
          <w:b w:val="0"/>
          <w:bCs w:val="0"/>
          <w:color w:val="0000FF"/>
          <w:sz w:val="21"/>
          <w:szCs w:val="21"/>
          <w:vertAlign w:val="baseline"/>
          <w:lang w:val="en-US" w:bidi="ar"/>
        </w:rPr>
        <w:t>O</w:t>
      </w:r>
      <w:r>
        <w:rPr>
          <w:rStyle w:val="9"/>
          <w:rFonts w:eastAsia="宋体"/>
          <w:color w:val="0000FF"/>
          <w:sz w:val="21"/>
          <w:szCs w:val="21"/>
          <w:lang w:bidi="ar"/>
        </w:rPr>
        <w:t>-</w:t>
      </w:r>
      <w:r>
        <w:rPr>
          <w:rFonts w:ascii="Times New Roman Regular" w:hAnsi="Times New Roman Regular" w:cs="Times New Roman Regular"/>
          <w:color w:val="0000FF"/>
          <w:szCs w:val="21"/>
        </w:rPr>
        <w:t>NO</w:t>
      </w:r>
      <w:r>
        <w:rPr>
          <w:rFonts w:ascii="Times New Roman Regular" w:hAnsi="Times New Roman Regular" w:cs="Times New Roman Regular"/>
          <w:color w:val="0000FF"/>
          <w:szCs w:val="21"/>
          <w:vertAlign w:val="subscript"/>
        </w:rPr>
        <w:t>3</w:t>
      </w:r>
      <w:r>
        <w:rPr>
          <w:rFonts w:ascii="Times New Roman Regular" w:hAnsi="Times New Roman Regular" w:cs="Times New Roman Regular"/>
          <w:color w:val="0000FF"/>
          <w:szCs w:val="21"/>
          <w:vertAlign w:val="superscript"/>
        </w:rPr>
        <w:t>-</w:t>
      </w:r>
      <w:r>
        <w:rPr>
          <w:rFonts w:hint="eastAsia" w:ascii="Times New Roman Regular" w:hAnsi="Times New Roman Regular" w:cs="Times New Roman Regular"/>
          <w:color w:val="0000FF"/>
        </w:rPr>
        <w:t xml:space="preserve"> values range from </w:t>
      </w:r>
      <w:r>
        <w:rPr>
          <w:rFonts w:hint="eastAsia"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rPr>
        <w:t>9.58‰ to 8.04‰, falling within the typical nitrification interval</w:t>
      </w:r>
      <w:r>
        <w:rPr>
          <w:rFonts w:hint="default" w:ascii="Times New Roman Regular" w:hAnsi="Times New Roman Regular" w:cs="Times New Roman Regular"/>
          <w:color w:val="0000FF"/>
          <w:lang w:val="en-US"/>
        </w:rPr>
        <w:t>, which excludes significant denitrification and supports the interpretation that transformation processes are dominated by nitrification (</w:t>
      </w:r>
      <w:r>
        <w:rPr>
          <w:rFonts w:hint="default" w:ascii="Times New Roman Regular" w:hAnsi="Times New Roman Regular" w:cs="Times New Roman Regular"/>
          <w:color w:val="0000FF"/>
          <w:lang w:val="en-US" w:eastAsia="zh-CN"/>
        </w:rPr>
        <w:t>Zhang et al., 2025</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w:t>
      </w:r>
    </w:p>
    <w:p w14:paraId="537410F6">
      <w:pPr>
        <w:spacing w:line="300" w:lineRule="auto"/>
        <w:ind w:firstLine="420"/>
        <w:outlineLvl w:val="9"/>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It is noteworthy that although the vadose zone thickness in the North China Plain generally exceeds 10 m (</w:t>
      </w:r>
      <w:r>
        <w:rPr>
          <w:rFonts w:hint="eastAsia" w:ascii="Times New Roman Regular" w:hAnsi="Times New Roman Regular" w:cs="Times New Roman Regular"/>
          <w:color w:val="0000FF"/>
        </w:rPr>
        <w:t>Liu et al., 2022), which theoretically buffers seasonal recharge and leaching signals, our results demonstrate distinct seasonal nitrate variability. This apparent contradiction can be attributed to three regional specificities. First, decades of excessive fertilization have created a substantial legacy nitrogen reservoir within the vadose zone (</w:t>
      </w:r>
      <w:r>
        <w:rPr>
          <w:rFonts w:hint="default" w:ascii="Times New Roman Regular" w:hAnsi="Times New Roman Regular" w:cs="Times New Roman Regular"/>
          <w:color w:val="0000FF"/>
        </w:rPr>
        <w:t>Liu</w:t>
      </w:r>
      <w:r>
        <w:rPr>
          <w:rFonts w:hint="default" w:ascii="Times New Roman Regular" w:hAnsi="Times New Roman Regular" w:cs="Times New Roman Regular"/>
          <w:color w:val="0000FF"/>
          <w:lang w:val="en-US"/>
        </w:rPr>
        <w:t xml:space="preserve"> et al., 2025; </w:t>
      </w:r>
      <w:r>
        <w:rPr>
          <w:rFonts w:hint="eastAsia" w:ascii="Times New Roman Regular" w:hAnsi="Times New Roman Regular" w:cs="Times New Roman Regular"/>
          <w:color w:val="0000FF"/>
        </w:rPr>
        <w:t>Miao et al., 2023), meaning groundwater nitrate is sustained by historical accumulation rather than solely current inputs, making it more susceptible to mobilization. Second, the monsoonal climate brings concentrated intense rainfall during the wet season, which can induce preferential flow paths that bypass the slow matrix flow of the thick unsaturated zone, facilitating rapid nitrate leaching (</w:t>
      </w:r>
      <w:r>
        <w:rPr>
          <w:rFonts w:hint="eastAsia" w:ascii="Times New Roman Regular" w:hAnsi="Times New Roman Regular" w:cs="Times New Roman Regular"/>
          <w:color w:val="0000FF"/>
        </w:rPr>
        <w:t>Williams et al., 2023). Third, intense groundwater abstraction for irrigation alters the regional groundwater flow field and water table depth, enhancing the hydraulic connectivity between surface soil nitrogen and the aquifer</w:t>
      </w:r>
      <w:r>
        <w:rPr>
          <w:rFonts w:hint="default" w:ascii="Times New Roman Regular" w:hAnsi="Times New Roman Regular" w:cs="Times New Roman Regular"/>
          <w:color w:val="0000FF"/>
          <w:lang w:val="en-US"/>
        </w:rPr>
        <w:t xml:space="preserve"> (</w:t>
      </w:r>
      <w:r>
        <w:rPr>
          <w:rFonts w:hint="default" w:ascii="Times New Roman Regular" w:hAnsi="Times New Roman Regular" w:eastAsia="黑体" w:cs="Times New Roman Regular"/>
          <w:color w:val="0000FF"/>
          <w:kern w:val="2"/>
          <w:sz w:val="21"/>
          <w:szCs w:val="24"/>
          <w:lang w:val="en-US" w:eastAsia="zh-CN" w:bidi="ar-SA"/>
        </w:rPr>
        <w:t>Liu et al., 2025; Yang et al., 2022</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Consequently, the observed seasonal patterns reflect a combination of legacy nitrogen mobilization, evaporative concentration (dry season), and precipitation dilution (wet season), overcoming the damping effect of the thick vadose zone</w:t>
      </w:r>
      <w:r>
        <w:rPr>
          <w:rFonts w:hint="default" w:ascii="Times New Roman Regular" w:hAnsi="Times New Roman Regular" w:cs="Times New Roman Regular"/>
          <w:color w:val="0000FF"/>
          <w:lang w:val="en-US"/>
        </w:rPr>
        <w:t xml:space="preserve"> (</w:t>
      </w:r>
      <w:r>
        <w:rPr>
          <w:rFonts w:hint="default" w:ascii="Times New Roman Regular" w:hAnsi="Times New Roman Regular" w:eastAsia="黑体" w:cs="Times New Roman Regular"/>
          <w:color w:val="0000FF"/>
          <w:kern w:val="2"/>
          <w:sz w:val="21"/>
          <w:szCs w:val="24"/>
          <w:lang w:val="en-US" w:eastAsia="zh-CN" w:bidi="ar-SA"/>
        </w:rPr>
        <w:t>Feng et al., 2024</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w:t>
      </w:r>
    </w:p>
    <w:p w14:paraId="75975E1F">
      <w:pPr>
        <w:spacing w:line="300" w:lineRule="auto"/>
        <w:outlineLvl w:val="9"/>
        <w:rPr>
          <w:rFonts w:hint="eastAsia" w:ascii="Times New Roman Regular" w:hAnsi="Times New Roman Regular" w:cs="Times New Roman Regular"/>
          <w:color w:val="0000FF"/>
        </w:rPr>
      </w:pPr>
    </w:p>
    <w:p w14:paraId="080C3CCF">
      <w:pPr>
        <w:spacing w:line="300" w:lineRule="auto"/>
        <w:outlineLvl w:val="1"/>
        <w:rPr>
          <w:rFonts w:ascii="Times New Roman Regular" w:hAnsi="Times New Roman Regular" w:cs="Times New Roman Regular"/>
          <w:color w:val="0000FF"/>
        </w:rPr>
      </w:pPr>
      <w:r>
        <w:rPr>
          <w:rFonts w:ascii="Times New Roman Regular" w:hAnsi="Times New Roman Regular" w:cs="Times New Roman Regular"/>
          <w:color w:val="0000FF"/>
        </w:rPr>
        <w:t>4.</w:t>
      </w:r>
      <w:r>
        <w:rPr>
          <w:rFonts w:hint="default" w:ascii="Times New Roman Regular" w:hAnsi="Times New Roman Regular" w:cs="Times New Roman Regular"/>
          <w:color w:val="0000FF"/>
          <w:lang w:val="en-US"/>
        </w:rPr>
        <w:t>2</w:t>
      </w:r>
      <w:r>
        <w:rPr>
          <w:rFonts w:ascii="Times New Roman Regular" w:hAnsi="Times New Roman Regular" w:cs="Times New Roman Regular"/>
          <w:color w:val="0000FF"/>
        </w:rPr>
        <w:t xml:space="preserve"> Virtual </w:t>
      </w:r>
      <w:r>
        <w:rPr>
          <w:rFonts w:hint="eastAsia" w:ascii="Times New Roman Regular" w:hAnsi="Times New Roman Regular" w:cs="Times New Roman Regular"/>
          <w:color w:val="0000FF"/>
        </w:rPr>
        <w:t>s</w:t>
      </w:r>
      <w:r>
        <w:rPr>
          <w:rFonts w:ascii="Times New Roman Regular" w:hAnsi="Times New Roman Regular" w:cs="Times New Roman Regular"/>
          <w:color w:val="0000FF"/>
        </w:rPr>
        <w:t xml:space="preserve">ample </w:t>
      </w:r>
      <w:r>
        <w:rPr>
          <w:rFonts w:hint="eastAsia" w:ascii="Times New Roman Regular" w:hAnsi="Times New Roman Regular" w:cs="Times New Roman Regular"/>
          <w:color w:val="0000FF"/>
        </w:rPr>
        <w:t xml:space="preserve">generation </w:t>
      </w:r>
      <w:r>
        <w:rPr>
          <w:rFonts w:ascii="Times New Roman Regular" w:hAnsi="Times New Roman Regular" w:cs="Times New Roman Regular"/>
          <w:color w:val="0000FF"/>
        </w:rPr>
        <w:t>effectively mitigates small-sample bias and reveals the model’s sensitive response to seasonal heterogeneity</w:t>
      </w:r>
    </w:p>
    <w:p w14:paraId="740F43AC">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Model overfitting and insufficient generalization resulting from small-sample data are prevalent challenges in the field of environmental forecasting (</w:t>
      </w:r>
      <w:r>
        <w:rPr>
          <w:rFonts w:ascii="Times New Roman Regular" w:hAnsi="Times New Roman Regular" w:cs="Times New Roman Regular"/>
          <w:color w:val="0000FF"/>
        </w:rPr>
        <w:t xml:space="preserve">Zhu et al., 2023). The t-SNE-GMM-KNN virtual sample generation strategy demonstrates that the generated virtual samples </w:t>
      </w:r>
      <w:r>
        <w:rPr>
          <w:rFonts w:hint="eastAsia" w:ascii="Times New Roman Regular" w:hAnsi="Times New Roman Regular" w:cs="Times New Roman Regular"/>
          <w:color w:val="0000FF"/>
        </w:rPr>
        <w:t>maintain consistency</w:t>
      </w:r>
      <w:r>
        <w:rPr>
          <w:rFonts w:hint="default" w:ascii="Times New Roman Regular" w:hAnsi="Times New Roman Regular" w:cs="Times New Roman Regular"/>
          <w:color w:val="0000FF"/>
          <w:lang w:val="en-US"/>
        </w:rPr>
        <w:t xml:space="preserve"> with</w:t>
      </w:r>
      <w:r>
        <w:rPr>
          <w:rFonts w:ascii="Times New Roman Regular" w:hAnsi="Times New Roman Regular" w:cs="Times New Roman Regular"/>
          <w:color w:val="0000FF"/>
        </w:rPr>
        <w:t xml:space="preserve"> the original data in terms of statistical characteristics, such as mean, standard deviation, and coefficient of variation, and reproduce hydrochemical differences across different seasons. The substantial improvement in model performance following virtual sample expansion </w:t>
      </w:r>
      <w:r>
        <w:rPr>
          <w:rFonts w:hint="eastAsia" w:ascii="Times New Roman Regular" w:hAnsi="Times New Roman Regular" w:cs="Times New Roman Regular"/>
          <w:color w:val="0000FF"/>
        </w:rPr>
        <w:t>supports the interpretation that</w:t>
      </w:r>
      <w:r>
        <w:rPr>
          <w:rFonts w:ascii="Times New Roman Regular" w:hAnsi="Times New Roman Regular" w:cs="Times New Roman Regular"/>
          <w:color w:val="0000FF"/>
        </w:rPr>
        <w:t xml:space="preserve"> data sparsity, rather than insufficient model capacity, </w:t>
      </w:r>
      <w:r>
        <w:rPr>
          <w:rFonts w:hint="eastAsia" w:ascii="Times New Roman Regular" w:hAnsi="Times New Roman Regular" w:cs="Times New Roman Regular"/>
          <w:color w:val="0000FF"/>
        </w:rPr>
        <w:t>constitutes the core bottleneck in seasonal nitrate modeling</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 xml:space="preserve">Saha et al., 2023). </w:t>
      </w:r>
      <w:r>
        <w:rPr>
          <w:rFonts w:hint="eastAsia" w:ascii="Times New Roman Regular" w:hAnsi="Times New Roman Regular" w:cs="Times New Roman Regular"/>
          <w:color w:val="0000FF"/>
        </w:rPr>
        <w:t>The narrowing of bootstrap confidence intervals with increasing virtual sample sizes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 xml:space="preserve"> further validates that the augmented datasets reduce the variance of performance estimates, ensuring that the reported accuracies are not artifacts of specific data splits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Austin et al., 2025)</w:t>
      </w:r>
      <w:r>
        <w:rPr>
          <w:rFonts w:hint="eastAsia"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Furthermore, the magnitude of prediction performance gains exhibits seasonal divergence. During the dry season, characterized by highly right-skewed 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default" w:ascii="Times New Roman Regular" w:hAnsi="Times New Roman Regular" w:cs="Times New Roman Regular"/>
          <w:color w:val="0000FF"/>
          <w:lang w:val="en-US"/>
        </w:rPr>
        <w:t xml:space="preserve"> concentrations, the model benefits most significantly, with R</w:t>
      </w:r>
      <w:r>
        <w:rPr>
          <w:rFonts w:hint="default" w:ascii="Times New Roman Regular" w:hAnsi="Times New Roman Regular" w:cs="Times New Roman Regular"/>
          <w:color w:val="0000FF"/>
          <w:vertAlign w:val="superscript"/>
          <w:lang w:val="en-US"/>
        </w:rPr>
        <w:t>2</w:t>
      </w:r>
      <w:r>
        <w:rPr>
          <w:rFonts w:hint="default" w:ascii="Times New Roman Regular" w:hAnsi="Times New Roman Regular" w:cs="Times New Roman Regular"/>
          <w:color w:val="0000FF"/>
          <w:lang w:val="en-US"/>
        </w:rPr>
        <w:t xml:space="preserve"> surging from 0.28 to over 0.85 with 10-fold expansion.</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Conversely, in the wet season, although absolute performance gains are smaller, excellent predictive accuracy is achieved</w:t>
      </w:r>
      <w:r>
        <w:rPr>
          <w:rFonts w:ascii="Times New Roman Regular" w:hAnsi="Times New Roman Regular" w:cs="Times New Roman Regular"/>
          <w:color w:val="0000FF"/>
        </w:rPr>
        <w:t>. This phenomenon aligns with fundamental hydrological principles: strong evaporation and concentration during the dry season intensify the spatial heterogeneity of pollutant accumulation and process nonlinearity, necessitating richer samples to characterize tail behaviors (</w:t>
      </w:r>
      <w:r>
        <w:rPr>
          <w:rFonts w:ascii="Times New Roman Regular" w:hAnsi="Times New Roman Regular" w:cs="Times New Roman Regular"/>
          <w:color w:val="0000FF"/>
        </w:rPr>
        <w:t>Li et al., 2025). In contrast, the dilution effects caused by rainfall leaching during the wet season tend to homogenize the system, reducing its dependency on sample size (</w:t>
      </w:r>
      <w:r>
        <w:rPr>
          <w:rFonts w:ascii="Times New Roman Regular" w:hAnsi="Times New Roman Regular" w:cs="Times New Roman Regular"/>
          <w:color w:val="0000FF"/>
        </w:rPr>
        <w:t xml:space="preserve">Bigler et al., 2024). </w:t>
      </w:r>
    </w:p>
    <w:p w14:paraId="58857EE8">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The t-SNE–GMM–KNN strategy proposed in this study outperforms traditional oversampling methods (e.g., SMOTE) or deep generative models (e.g., VAE) in preserving multimodal structures and heavy-tailed covariance; the latter often ignore the manifold geometric properties of high-dimensional geochemical spaces or inherently rely on large amounts of training data (</w:t>
      </w:r>
      <w:r>
        <w:rPr>
          <w:rFonts w:ascii="Times New Roman Regular" w:hAnsi="Times New Roman Regular" w:cs="Times New Roman Regular"/>
          <w:color w:val="0000FF"/>
        </w:rPr>
        <w:t>Udu et al., 2025), which is precisely what is lacking in the scenario of this study. Compared to common methods such as Gaussian Mixture Models (GMM) and Generative Adversarial Networks (GANs), the core advantages of this strategy are reflected in three aspects: first, t-SNE dimensionality reduction accurately captures sample clustering structures driven by different hydrological processes, providing a reliable foundation for subsequent distribution modeling; second, the number of GMM clusters is automatically optimized based on the Bayesian Information Criterion (BIC), avoiding biases arising from subjective settings; and third, KNN inverse mapping enables reconstruction from low-dimensional to high-dimensional space without the need for large-scale training data, making it more suitable for small-sample scenarios (</w:t>
      </w:r>
      <w:r>
        <w:rPr>
          <w:rFonts w:ascii="Times New Roman Regular" w:hAnsi="Times New Roman Regular" w:cs="Times New Roman Regular"/>
          <w:color w:val="0000FF"/>
        </w:rPr>
        <w:t>Silva et al., 2023; Kurniawan et al., 2024; Peng et al., 2025).</w:t>
      </w:r>
      <w:r>
        <w:rPr>
          <w:rFonts w:hint="default" w:ascii="Times New Roman Regular" w:hAnsi="Times New Roman Regular" w:cs="Times New Roman Regular"/>
          <w:color w:val="0000FF"/>
          <w:lang w:val="en-US"/>
        </w:rPr>
        <w:t xml:space="preserve"> The Bootstrap uncertainty analysis (Table S1-S6) reveals that the confidence intervals narrow significantly with increasing virtual sample size, indicating enhanced model stability. Notably, in the dry season with high data variability, the 95% CI width decreased from 0.440 (original data) to 0.053 (10× augmented data) for the RF model, demonstrating that the t-SNE-GMM-KNN strategy effectively mitigates uncertainty arising from small-sample bias. However, the wet season, despite achieving higher R</w:t>
      </w:r>
      <w:r>
        <w:rPr>
          <w:rFonts w:hint="default" w:ascii="Times New Roman Regular" w:hAnsi="Times New Roman Regular" w:cs="Times New Roman Regular"/>
          <w:color w:val="0000FF"/>
          <w:vertAlign w:val="superscript"/>
          <w:lang w:val="en-US"/>
        </w:rPr>
        <w:t>2</w:t>
      </w:r>
      <w:r>
        <w:rPr>
          <w:rFonts w:hint="default" w:ascii="Times New Roman Regular" w:hAnsi="Times New Roman Regular" w:cs="Times New Roman Regular"/>
          <w:color w:val="0000FF"/>
          <w:lang w:val="en-US"/>
        </w:rPr>
        <w:t xml:space="preserve"> values, showed relatively wider confidence intervals at equivalent generation levels, suggesting that dilution-driven homogenization may introduce different types of uncertainty related to reduced signal-to-noise ratios in low-concentration regimes.</w:t>
      </w:r>
    </w:p>
    <w:p w14:paraId="074BD4C6">
      <w:pPr>
        <w:spacing w:line="300" w:lineRule="auto"/>
        <w:ind w:firstLine="420"/>
        <w:rPr>
          <w:rFonts w:hint="default" w:ascii="Times New Roman Regular" w:hAnsi="Times New Roman Regular" w:cs="Times New Roman Regular"/>
          <w:color w:val="0000FF"/>
          <w:lang w:val="en-US"/>
        </w:rPr>
      </w:pPr>
      <w:r>
        <w:rPr>
          <w:rFonts w:hint="default" w:ascii="Times New Roman Regular" w:hAnsi="Times New Roman Regular" w:cs="Times New Roman Regular"/>
          <w:color w:val="0000FF"/>
          <w:lang w:val="en-US"/>
        </w:rPr>
        <w:t xml:space="preserve">While the 10-fold virtual sample augmentation substantially improves predictive performance, we acknowledge potential risks of overfitting to synthetic patterns inherent in data </w:t>
      </w:r>
      <w:r>
        <w:rPr>
          <w:rFonts w:hint="eastAsia" w:ascii="Times New Roman Regular" w:hAnsi="Times New Roman Regular" w:cs="Times New Roman Regular"/>
          <w:color w:val="0000FF"/>
          <w:lang w:val="en-US" w:eastAsia="zh-CN"/>
        </w:rPr>
        <w:t xml:space="preserve">generation </w:t>
      </w:r>
      <w:r>
        <w:rPr>
          <w:rFonts w:hint="default" w:ascii="Times New Roman Regular" w:hAnsi="Times New Roman Regular" w:cs="Times New Roman Regular"/>
          <w:color w:val="0000FF"/>
          <w:lang w:val="en-US"/>
        </w:rPr>
        <w:t>strateg</w:t>
      </w:r>
      <w:r>
        <w:rPr>
          <w:rFonts w:hint="eastAsia" w:ascii="Times New Roman Regular" w:hAnsi="Times New Roman Regular" w:cs="Times New Roman Regular"/>
          <w:color w:val="0000FF"/>
          <w:lang w:val="en-US" w:eastAsia="zh-CN"/>
        </w:rPr>
        <w:t>y</w:t>
      </w:r>
      <w:r>
        <w:rPr>
          <w:rFonts w:hint="default" w:ascii="Times New Roman Regular" w:hAnsi="Times New Roman Regular" w:cs="Times New Roman Regular"/>
          <w:color w:val="0000FF"/>
          <w:lang w:val="en-US"/>
        </w:rPr>
        <w:t>. The t-SNE-GMM-KNN framework mitigates this through strict adherence to the manifold structure of original hydrochemical data and preservation of multimodal distributions; however, excessive augmentation beyond 10</w:t>
      </w:r>
      <w:r>
        <w:rPr>
          <w:rFonts w:hint="eastAsia" w:ascii="Times New Roman Regular" w:hAnsi="Times New Roman Regular" w:cs="Times New Roman Regular"/>
          <w:color w:val="0000FF"/>
          <w:lang w:val="en-US" w:eastAsia="zh-CN"/>
        </w:rPr>
        <w:t>x</w:t>
      </w:r>
      <w:r>
        <w:rPr>
          <w:rFonts w:hint="default" w:ascii="Times New Roman Regular" w:hAnsi="Times New Roman Regular" w:cs="Times New Roman Regular"/>
          <w:color w:val="0000FF"/>
          <w:lang w:val="en-US"/>
        </w:rPr>
        <w:t xml:space="preserve"> may introduce artificial covariance structures not representative of true geochemical processes (</w:t>
      </w:r>
      <w:r>
        <w:rPr>
          <w:rFonts w:hint="default" w:ascii="Times New Roman Regular" w:hAnsi="Times New Roman Regular" w:cs="Times New Roman Regular"/>
          <w:color w:val="0000FF"/>
          <w:lang w:val="en-US" w:eastAsia="zh-CN"/>
        </w:rPr>
        <w:t>Tanner et al., 2022</w:t>
      </w:r>
      <w:r>
        <w:rPr>
          <w:rFonts w:hint="default" w:ascii="Times New Roman Regular" w:hAnsi="Times New Roman Regular" w:cs="Times New Roman Regular"/>
          <w:color w:val="0000FF"/>
          <w:lang w:val="en-US"/>
        </w:rPr>
        <w:t>). Our bootstrap uncertainty analysis reveals that performance gains plateau beyond 8-fold generation, suggesting that 10x represents an empirical upper bound where information extraction from limited field samples approaches saturation without compromising generalizability (</w:t>
      </w:r>
      <w:r>
        <w:rPr>
          <w:rFonts w:hint="default" w:ascii="Times New Roman Regular" w:hAnsi="Times New Roman Regular" w:cs="Times New Roman Regular"/>
          <w:color w:val="0000FF"/>
          <w:lang w:val="en-US"/>
        </w:rPr>
        <w:t>Zhu et al., 2023).</w:t>
      </w:r>
    </w:p>
    <w:p w14:paraId="6770008C">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Times New Roman Regular" w:hAnsi="Times New Roman Regular" w:cs="Times New Roman Regular"/>
          <w:color w:val="0000FF"/>
          <w:lang w:val="en-US" w:eastAsia="zh-CN"/>
        </w:rPr>
      </w:pPr>
    </w:p>
    <w:p w14:paraId="2E8A03D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color w:val="0000FF"/>
          <w:lang w:val="en-US" w:eastAsia="zh-CN"/>
        </w:rPr>
      </w:pPr>
    </w:p>
    <w:p w14:paraId="3030E5A7">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Page 14</w:t>
      </w:r>
      <w:r>
        <w:rPr>
          <w:rFonts w:hint="default" w:ascii="Times New Roman Regular" w:hAnsi="Times New Roman Regular" w:cs="Times New Roman Regular"/>
          <w:lang w:val="en-US" w:eastAsia="zh-CN"/>
        </w:rPr>
        <w:t xml:space="preserve">. </w:t>
      </w:r>
      <w:r>
        <w:rPr>
          <w:rFonts w:hint="default" w:ascii="Times New Roman Regular" w:hAnsi="Times New Roman Regular" w:cs="Times New Roman Regular" w:eastAsiaTheme="minorEastAsia"/>
          <w:lang w:val="en-US" w:eastAsia="zh-CN"/>
        </w:rPr>
        <w:t>The limitations are acknowledged but superficially. Consider expanding discussion on:</w:t>
      </w:r>
      <w:r>
        <w:rPr>
          <w:rFonts w:hint="default" w:ascii="Times New Roman Regular" w:hAnsi="Times New Roman Regular" w:cs="Times New Roman Regular"/>
          <w:lang w:val="en-US" w:eastAsia="zh-CN"/>
        </w:rPr>
        <w:t xml:space="preserve"> </w:t>
      </w:r>
      <w:r>
        <w:rPr>
          <w:rFonts w:hint="default" w:ascii="Times New Roman Regular" w:hAnsi="Times New Roman Regular" w:cs="Times New Roman Regular" w:eastAsiaTheme="minorEastAsia"/>
          <w:lang w:val="en-US" w:eastAsia="zh-CN"/>
        </w:rPr>
        <w:t>Spatial representativeness.</w:t>
      </w:r>
      <w:r>
        <w:rPr>
          <w:rFonts w:hint="default" w:ascii="Times New Roman Regular" w:hAnsi="Times New Roman Regular" w:cs="Times New Roman Regular"/>
          <w:lang w:val="en-US" w:eastAsia="zh-CN"/>
        </w:rPr>
        <w:t xml:space="preserve"> </w:t>
      </w:r>
      <w:r>
        <w:rPr>
          <w:rFonts w:hint="default" w:ascii="Times New Roman Regular" w:hAnsi="Times New Roman Regular" w:cs="Times New Roman Regular" w:eastAsiaTheme="minorEastAsia"/>
          <w:lang w:val="en-US" w:eastAsia="zh-CN"/>
        </w:rPr>
        <w:t>Temporal coverage limitations.</w:t>
      </w:r>
      <w:r>
        <w:rPr>
          <w:rFonts w:hint="default" w:ascii="Times New Roman Regular" w:hAnsi="Times New Roman Regular" w:cs="Times New Roman Regular"/>
          <w:lang w:val="en-US" w:eastAsia="zh-CN"/>
        </w:rPr>
        <w:t xml:space="preserve"> </w:t>
      </w:r>
      <w:r>
        <w:rPr>
          <w:rFonts w:hint="default" w:ascii="Times New Roman Regular" w:hAnsi="Times New Roman Regular" w:cs="Times New Roman Regular" w:eastAsiaTheme="minorEastAsia"/>
          <w:lang w:val="en-US" w:eastAsia="zh-CN"/>
        </w:rPr>
        <w:t>Potential bias sources.</w:t>
      </w:r>
      <w:r>
        <w:rPr>
          <w:rFonts w:hint="default" w:ascii="Times New Roman Regular" w:hAnsi="Times New Roman Regular" w:cs="Times New Roman Regular"/>
          <w:lang w:val="en-US" w:eastAsia="zh-CN"/>
        </w:rPr>
        <w:t xml:space="preserve"> </w:t>
      </w:r>
      <w:r>
        <w:rPr>
          <w:rFonts w:hint="default" w:ascii="Times New Roman Regular" w:hAnsi="Times New Roman Regular" w:cs="Times New Roman Regular" w:eastAsiaTheme="minorEastAsia"/>
          <w:lang w:val="en-US" w:eastAsia="zh-CN"/>
        </w:rPr>
        <w:t>Model generalizability.</w:t>
      </w:r>
    </w:p>
    <w:p w14:paraId="0F10FF06">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eastAsiaTheme="minorEastAsia"/>
          <w:lang w:val="en-US" w:eastAsia="zh-CN"/>
        </w:rPr>
      </w:pPr>
    </w:p>
    <w:p w14:paraId="02181ED0">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sincerely thank the reviewer for this insightful comment. We agree that a more comprehensive discussion on the study's limitations is crucial for accurately interpreting the results and guiding future research.</w:t>
      </w:r>
    </w:p>
    <w:p w14:paraId="1592F83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eastAsiaTheme="minorEastAsia"/>
          <w:color w:val="0000FF"/>
          <w:lang w:val="en-US" w:eastAsia="zh-CN"/>
        </w:rPr>
        <w:t>To address this, we have expanded subsection "4.</w:t>
      </w:r>
      <w:r>
        <w:rPr>
          <w:rFonts w:hint="eastAsia" w:ascii="Times New Roman Regular" w:hAnsi="Times New Roman Regular" w:cs="Times New Roman Regular"/>
          <w:color w:val="0000FF"/>
          <w:lang w:val="en-US" w:eastAsia="zh-CN"/>
        </w:rPr>
        <w:t>5</w:t>
      </w:r>
      <w:r>
        <w:rPr>
          <w:rFonts w:hint="default" w:ascii="Times New Roman Regular" w:hAnsi="Times New Roman Regular" w:cs="Times New Roman Regular" w:eastAsiaTheme="minorEastAsia"/>
          <w:color w:val="0000FF"/>
          <w:lang w:val="en-US" w:eastAsia="zh-CN"/>
        </w:rPr>
        <w:t xml:space="preserve"> Limitations and </w:t>
      </w:r>
      <w:r>
        <w:rPr>
          <w:rFonts w:hint="default" w:ascii="Times New Roman Regular" w:hAnsi="Times New Roman Regular" w:cs="Times New Roman Regular"/>
          <w:color w:val="0000FF"/>
          <w:lang w:val="en-US" w:eastAsia="zh-CN"/>
        </w:rPr>
        <w:t>f</w:t>
      </w:r>
      <w:r>
        <w:rPr>
          <w:rFonts w:hint="default" w:ascii="Times New Roman Regular" w:hAnsi="Times New Roman Regular" w:cs="Times New Roman Regular" w:eastAsiaTheme="minorEastAsia"/>
          <w:color w:val="0000FF"/>
          <w:lang w:val="en-US" w:eastAsia="zh-CN"/>
        </w:rPr>
        <w:t xml:space="preserve">uture </w:t>
      </w:r>
      <w:r>
        <w:rPr>
          <w:rFonts w:hint="default" w:ascii="Times New Roman Regular" w:hAnsi="Times New Roman Regular" w:cs="Times New Roman Regular"/>
          <w:color w:val="0000FF"/>
          <w:lang w:val="en-US" w:eastAsia="zh-CN"/>
        </w:rPr>
        <w:t>directions</w:t>
      </w:r>
      <w:r>
        <w:rPr>
          <w:rFonts w:hint="default" w:ascii="Times New Roman Regular" w:hAnsi="Times New Roman Regular" w:cs="Times New Roman Regular" w:eastAsiaTheme="minorEastAsia"/>
          <w:color w:val="0000FF"/>
          <w:lang w:val="en-US" w:eastAsia="zh-CN"/>
        </w:rPr>
        <w:t>" in the Discussion section. In this section, we have explicitly expanded on the four key areas highlighted by the reviewer</w:t>
      </w:r>
      <w:r>
        <w:rPr>
          <w:rFonts w:hint="default" w:ascii="Times New Roman Regular" w:hAnsi="Times New Roman Regular" w:cs="Times New Roman Regular"/>
          <w:color w:val="0000FF"/>
          <w:lang w:val="en-US" w:eastAsia="zh-CN"/>
        </w:rPr>
        <w:t>.</w:t>
      </w:r>
    </w:p>
    <w:p w14:paraId="7E9EE869">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acknowledged that the study was conducted on a single farm and discussed the uncertainties associated with extrapolating to regions with different hydrogeological structures. We clarified that seasonal snapshots may miss high-frequency dynamics and suggested continuous monitoring for future work. We discussed how the virtual sample generation inherits biases from the original dataset and noted the temporal resolution mismatch between AEF embeddings and seasonal groundwater dynamics.</w:t>
      </w:r>
      <w:r>
        <w:rPr>
          <w:rFonts w:hint="eastAsia" w:ascii="Times New Roman Regular" w:hAnsi="Times New Roman Regular" w:cs="Times New Roman Regular"/>
          <w:color w:val="0000FF"/>
          <w:lang w:val="en-US" w:eastAsia="zh-CN"/>
        </w:rPr>
        <w:t xml:space="preserve"> We emphasize that the model has only been calibrated for the current study area and emphasize the need for recalibration when applying the framework to different climate regions.</w:t>
      </w:r>
    </w:p>
    <w:p w14:paraId="663BDB0C">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eastAsiaTheme="minorEastAsia"/>
          <w:lang w:val="en-US" w:eastAsia="zh-CN"/>
        </w:rPr>
      </w:pPr>
    </w:p>
    <w:p w14:paraId="5EE33104">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3573A025">
      <w:pPr>
        <w:spacing w:line="300" w:lineRule="auto"/>
        <w:outlineLvl w:val="1"/>
        <w:rPr>
          <w:rFonts w:ascii="Times New Roman Regular" w:hAnsi="Times New Roman Regular" w:cs="Times New Roman Regular"/>
          <w:color w:val="0000FF"/>
        </w:rPr>
      </w:pPr>
      <w:r>
        <w:rPr>
          <w:rFonts w:ascii="Times New Roman Regular" w:hAnsi="Times New Roman Regular" w:cs="Times New Roman Regular"/>
          <w:color w:val="0000FF"/>
        </w:rPr>
        <w:t>4.</w:t>
      </w:r>
      <w:r>
        <w:rPr>
          <w:rFonts w:hint="default" w:ascii="Times New Roman Regular" w:hAnsi="Times New Roman Regular" w:cs="Times New Roman Regular"/>
          <w:color w:val="0000FF"/>
          <w:lang w:val="en-US"/>
        </w:rPr>
        <w:t>5</w:t>
      </w:r>
      <w:r>
        <w:rPr>
          <w:rFonts w:ascii="Times New Roman Regular" w:hAnsi="Times New Roman Regular" w:cs="Times New Roman Regular"/>
          <w:color w:val="0000FF"/>
        </w:rPr>
        <w:t xml:space="preserve"> </w:t>
      </w:r>
      <w:r>
        <w:rPr>
          <w:rFonts w:hint="default" w:ascii="Times New Roman Regular" w:hAnsi="Times New Roman Regular" w:cs="Times New Roman Regular"/>
          <w:color w:val="0000FF"/>
        </w:rPr>
        <w:t xml:space="preserve">Limitations and </w:t>
      </w:r>
      <w:r>
        <w:rPr>
          <w:rFonts w:hint="default" w:ascii="Times New Roman Regular" w:hAnsi="Times New Roman Regular" w:cs="Times New Roman Regular"/>
          <w:color w:val="0000FF"/>
          <w:lang w:val="en-US"/>
        </w:rPr>
        <w:t>f</w:t>
      </w:r>
      <w:r>
        <w:rPr>
          <w:rFonts w:hint="default" w:ascii="Times New Roman Regular" w:hAnsi="Times New Roman Regular" w:cs="Times New Roman Regular"/>
          <w:color w:val="0000FF"/>
        </w:rPr>
        <w:t xml:space="preserve">uture </w:t>
      </w:r>
      <w:r>
        <w:rPr>
          <w:rFonts w:hint="default" w:ascii="Times New Roman Regular" w:hAnsi="Times New Roman Regular" w:cs="Times New Roman Regular"/>
          <w:color w:val="0000FF"/>
          <w:lang w:val="en-US"/>
        </w:rPr>
        <w:t>d</w:t>
      </w:r>
      <w:r>
        <w:rPr>
          <w:rFonts w:hint="default" w:ascii="Times New Roman Regular" w:hAnsi="Times New Roman Regular" w:cs="Times New Roman Regular"/>
          <w:color w:val="0000FF"/>
        </w:rPr>
        <w:t>irections</w:t>
      </w:r>
    </w:p>
    <w:p w14:paraId="323AB55F">
      <w:pPr>
        <w:spacing w:line="300" w:lineRule="auto"/>
        <w:ind w:firstLine="420"/>
        <w:outlineLvl w:val="9"/>
        <w:rPr>
          <w:rFonts w:hint="eastAsia" w:ascii="Times New Roman Regular" w:hAnsi="Times New Roman Regular" w:cs="Times New Roman Regular" w:eastAsiaTheme="minorEastAsia"/>
          <w:color w:val="0000FF"/>
          <w:lang w:eastAsia="zh-CN"/>
        </w:rPr>
      </w:pPr>
      <w:r>
        <w:rPr>
          <w:rFonts w:hint="eastAsia" w:ascii="Times New Roman Regular" w:hAnsi="Times New Roman Regular" w:cs="Times New Roman Regular" w:eastAsiaTheme="minorEastAsia"/>
          <w:color w:val="0000FF"/>
          <w:lang w:eastAsia="zh-CN"/>
        </w:rPr>
        <w:t>While the 66, 65, and 50 sampling points for the normal, dry, and wet seasons respectively provided sufficient coverage for the 3000-hectare unmanned farm, the spatial representativeness of these discrete sampling points may not fully capture fine-scale heterogeneities in agricultural landscapes where nitrate leaching exhibits strong local-scale variability governed by micro-topography, soil texture transitions, and uneven fertilizer application patterns</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rPr>
        <w:t>Li</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The seasonal snapshot approach</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though capturing critical hydrological transitions</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inevitably sacrifices temporal resolution inherent to continuous monitoring systems. The 4</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6 month intervals between campaigns may miss episodic recharge events, short-term fertilizer leaching pulses following intensive rainfall, or transient biogeochemical shifts during freeze</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thaw cycles that are particularly relevant in the North China Plain</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s monsoonal climate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Nolte</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The single-year observation period (2022</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2023) also precludes assessment of inter-annual climatic variability (e.g., El Niño</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Southern Oscillation impacts) and long-term legacy nitrogen depletion dynamics. We acknowledge that our model predictions, while robust for the observed seasonal windows, may exhibit reduced reliability during extreme hydrological years or under future climate scenarios where non-stationarity in precipitation patterns could alter nitrate mobilization pathways.</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 xml:space="preserve">Several sources of systematic bias warrant explicit acknowledgment. First, the reliance on irrigation wells for sampling introduces a hydrological connectivity bias: our dataset overrepresents shallow, actively exploited aquifer zones while potentially excluding deeper, stagnant groundwater bodies with distinct nitrate signatures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Jia</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 Second, the MixSIAR source apportionment relies on literature-derived end-member isotopic signatures that may not fully capture local biogeochemical fractionation specific to the North China Plain's thick vadose zone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Jiang</w:t>
      </w:r>
      <w:r>
        <w:rPr>
          <w:rFonts w:hint="default" w:ascii="Times New Roman Regular" w:hAnsi="Times New Roman Regular" w:cs="Times New Roman Regular"/>
          <w:color w:val="0000FF"/>
          <w:lang w:val="en-US"/>
        </w:rPr>
        <w:t xml:space="preserve"> et al., 2026</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Third, the virtual sample generation strategy, while effective for addressing data sparsity, may inadvertently amplify representational biases present in the original small sample sets</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 xml:space="preserve">particularly the overrepresentation of high-concentration outliers during the dry season, potentially skewing model sensitivity toward extreme values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Tanner</w:t>
      </w:r>
      <w:r>
        <w:rPr>
          <w:rFonts w:hint="default" w:ascii="Times New Roman Regular" w:hAnsi="Times New Roman Regular" w:cs="Times New Roman Regular"/>
          <w:color w:val="0000FF"/>
          <w:lang w:val="en-US"/>
        </w:rPr>
        <w:t xml:space="preserve"> et al., 2022</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w:t>
      </w:r>
    </w:p>
    <w:p w14:paraId="7495B7F6">
      <w:pPr>
        <w:spacing w:line="300" w:lineRule="auto"/>
        <w:ind w:firstLine="420"/>
        <w:outlineLvl w:val="9"/>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eastAsiaTheme="minorEastAsia"/>
          <w:color w:val="0000FF"/>
          <w:lang w:eastAsia="zh-CN"/>
        </w:rPr>
        <w:t>While the hybrid quantum-classical framework demonstrated superior performance within the Xiong</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an New Area, its extrapolation validity to hydrogeologically dissimilar regions remains untested and likely limited without domain adaptation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Dai</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 Recent advances in multi-site deep learning architectures suggest that pooling data from hydrogeologically similar regions could enhance generalizability; however, our single-site experimental design precludes assessment of such transfer learning benefits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Clark</w:t>
      </w:r>
      <w:r>
        <w:rPr>
          <w:rFonts w:hint="default" w:ascii="Times New Roman Regular" w:hAnsi="Times New Roman Regular" w:cs="Times New Roman Regular"/>
          <w:color w:val="0000FF"/>
          <w:lang w:val="en-US"/>
        </w:rPr>
        <w:t xml:space="preserve"> et al., 2025; </w:t>
      </w:r>
      <w:r>
        <w:rPr>
          <w:rFonts w:hint="default" w:ascii="Times New Roman Regular" w:hAnsi="Times New Roman Regular" w:cs="Times New Roman Regular"/>
          <w:color w:val="0000FF"/>
        </w:rPr>
        <w:t>Farahani</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 Future work should implement leave-one-region-out cross-validation and explore meta-learning approaches to disentangle universal nitrate transport principles from site-specific idiosyncrasies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Yu</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w:t>
      </w:r>
      <w:r>
        <w:rPr>
          <w:rFonts w:hint="default" w:ascii="Times New Roman Regular" w:hAnsi="Times New Roman Regular" w:cs="Times New Roman Regular"/>
          <w:color w:val="0000FF"/>
          <w:lang w:val="en-US" w:eastAsia="zh-CN"/>
        </w:rPr>
        <w:t xml:space="preserve"> Regarding extrapolation to hydrogeologically dissimilar regions, the current framework’s validity is intrinsically linked to the specific hydrogeochemical context of the North China Plain, particularly its thick vadose zone, semi-arid climate, and intensive agricultural land use. Direct model transfer to regions with contrasting characteristics (e.g., karst aquifers with thin soils, humid tropical climates, or nitrate-dominated fertilizer regimes) would likely suffer from domain shift issues (</w:t>
      </w:r>
      <w:r>
        <w:rPr>
          <w:rFonts w:hint="default" w:ascii="Times New Roman Regular" w:hAnsi="Times New Roman Regular" w:cs="Times New Roman Regular"/>
          <w:color w:val="0000FF"/>
          <w:lang w:val="en-US" w:eastAsia="zh-CN"/>
        </w:rPr>
        <w:t>Dai et al., 2025). We emphasize that the proposed t-SNE-GMM-KNN methodology is portable, but model parameters require recalibration using local hydrochemical data. Future implementation should adopt domain adaptation techniques, such as adversarial training or feature alignment between source and target domains. to enable cross-regional application without extensive new sampling campaigns (</w:t>
      </w:r>
      <w:r>
        <w:rPr>
          <w:rFonts w:hint="default" w:ascii="Times New Roman Regular" w:hAnsi="Times New Roman Regular" w:cs="Times New Roman Regular"/>
          <w:color w:val="0000FF"/>
        </w:rPr>
        <w:t>Zheng</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 Additionally, meta-learning approaches that leverage multi-site hydrochemical databases could disentangle universal nitrate transport principles from site-specific idiosyncrasies, enhancing the framework's generalizability across diverse hydrogeological settings (</w:t>
      </w:r>
      <w:r>
        <w:rPr>
          <w:rFonts w:hint="default" w:ascii="Times New Roman Regular" w:hAnsi="Times New Roman Regular" w:cs="Times New Roman Regular"/>
          <w:color w:val="0000FF"/>
          <w:lang w:val="en-US" w:eastAsia="zh-CN"/>
        </w:rPr>
        <w:t>Yu et al., 2025).</w:t>
      </w:r>
    </w:p>
    <w:p w14:paraId="5AC8E6E1">
      <w:pPr>
        <w:spacing w:line="300" w:lineRule="auto"/>
        <w:ind w:firstLine="420"/>
        <w:outlineLvl w:val="9"/>
        <w:rPr>
          <w:rFonts w:hint="default" w:ascii="Times New Roman Regular" w:hAnsi="Times New Roman Regular" w:cs="Times New Roman Regular" w:eastAsiaTheme="minorEastAsia"/>
          <w:lang w:val="en-US" w:eastAsia="zh-CN"/>
        </w:rPr>
      </w:pPr>
      <w:r>
        <w:rPr>
          <w:rFonts w:ascii="Times New Roman Regular" w:hAnsi="Times New Roman Regular" w:cs="Times New Roman Regular"/>
          <w:color w:val="0000FF"/>
        </w:rPr>
        <w:t>Modeling performance using only AEF embeddings as input generally yields an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approximately 10-20% lower than that achieved using measured water quality parameters. </w:t>
      </w:r>
      <w:r>
        <w:rPr>
          <w:rFonts w:hint="eastAsia" w:ascii="Times New Roman Regular" w:hAnsi="Times New Roman Regular" w:cs="Times New Roman Regular"/>
          <w:color w:val="0000FF"/>
        </w:rPr>
        <w:t>This discrepancy likely stems from the fact that water quality parameters directly reflect the immediate state of the groundwater chemical environment and exhibit direct relationships with nitrate transport and transformation processes, whereas surface remote sensing semantics provide only an indirect characterization</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 xml:space="preserve">Alam et al., 2025). </w:t>
      </w:r>
      <w:r>
        <w:rPr>
          <w:rFonts w:hint="eastAsia" w:ascii="Times New Roman Regular" w:hAnsi="Times New Roman Regular" w:cs="Times New Roman Regular"/>
          <w:color w:val="0000FF"/>
        </w:rPr>
        <w:t xml:space="preserve">We acknowledge that relying on field parameters such as EC and TDS to predict nitrate is primarily valuable for understanding hydrochemical correlations rather than reducing monitoring costs if all parameters must be measured alongside nitrate. However, a key practical advantage is that the input water quality parameters(pH, EC, TDS, DO, ORP, etc.) can be rapidly acquired on-site using portable multi-parameter meters(e.g., Hach HQ400) within minutes, whereas nitrate determination typically requires laboratory-based analysis with longer processing times. Therefore, the field-parameter model offers a practical pathway for preliminary screening and real-time decision-making in field surveys when immediate laboratory results are unavailable. </w:t>
      </w:r>
      <w:r>
        <w:rPr>
          <w:rFonts w:ascii="Times New Roman Regular" w:hAnsi="Times New Roman Regular" w:cs="Times New Roman Regular"/>
          <w:color w:val="0000FF"/>
        </w:rPr>
        <w:t>After 10-fold virtual expansion, the AEF model still achieves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values of &gt;0.67 in the dry season, &gt;0.85 in the normal season, and &gt;0.78 in the wet season, </w:t>
      </w:r>
      <w:r>
        <w:rPr>
          <w:rFonts w:hint="eastAsia" w:ascii="Times New Roman Regular" w:hAnsi="Times New Roman Regular" w:cs="Times New Roman Regular"/>
          <w:color w:val="0000FF"/>
        </w:rPr>
        <w:t>supporting its feasibility</w:t>
      </w:r>
      <w:r>
        <w:rPr>
          <w:rFonts w:ascii="Times New Roman Regular" w:hAnsi="Times New Roman Regular" w:cs="Times New Roman Regular"/>
          <w:color w:val="0000FF"/>
        </w:rPr>
        <w:t xml:space="preserve"> as a rapid large-scale screening tool, particularly in unmonitored areas. Seasonal shifts in feature importance (dominated by A05/A00 in the normal season, A08/A06 in the dry season, A02/A03 in the wet season) suggest potential physical interpretations. A05/A00 may encode crop residue or soil organic matter information, A08/A06 may characterize the degree of bare soil exposure, and A02/A03 may reflect vegetation growth status or surface runoff potential</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Alvarez et al., 2025)</w:t>
      </w:r>
      <w:r>
        <w:rPr>
          <w:rFonts w:ascii="Times New Roman Regular" w:hAnsi="Times New Roman Regular" w:cs="Times New Roman Regular"/>
          <w:color w:val="0000FF"/>
        </w:rPr>
        <w:t xml:space="preserve">. These </w:t>
      </w:r>
      <w:r>
        <w:rPr>
          <w:rFonts w:hint="eastAsia" w:ascii="Times New Roman Regular" w:hAnsi="Times New Roman Regular" w:cs="Times New Roman Regular"/>
          <w:color w:val="0000FF"/>
        </w:rPr>
        <w:t>interpretations</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align with MixSIAR source apportionment and Bayesian driving factors. Although causal inference remains indirect, the global coverage and annual update characteristics of AEF make it a powerful supplement rather than a substitute for large-scale monitoring</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Cai et al., 2025)</w:t>
      </w:r>
      <w:r>
        <w:rPr>
          <w:rFonts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Ground-truth validation remains essential for establishing definitive relationships between remote sensing signals and subsurface water quality (</w:t>
      </w:r>
      <w:r>
        <w:rPr>
          <w:rFonts w:hint="default" w:ascii="Times New Roman Regular" w:hAnsi="Times New Roman Regular" w:cs="Times New Roman Regular"/>
          <w:color w:val="0000FF"/>
          <w:lang w:val="en-US"/>
        </w:rPr>
        <w:t>Tollefson et al., 2025).</w:t>
      </w:r>
    </w:p>
    <w:p w14:paraId="7B9FC337">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eastAsiaTheme="minorEastAsia"/>
          <w:lang w:val="en-US" w:eastAsia="zh-CN"/>
        </w:rPr>
      </w:pPr>
    </w:p>
    <w:p w14:paraId="5375E073">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eastAsiaTheme="minorEastAsia"/>
          <w:lang w:val="en-US" w:eastAsia="zh-CN"/>
        </w:rPr>
      </w:pPr>
    </w:p>
    <w:p w14:paraId="0ED7CA5F">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A more critical self-assessment would strengthen the manuscript.</w:t>
      </w:r>
    </w:p>
    <w:p w14:paraId="6714D938">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Several equations lack complete symbol explanations immediately below the formula. All variables should be defined clearly with units.</w:t>
      </w:r>
    </w:p>
    <w:p w14:paraId="4270457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Some terms are used interchangeably without clarification. Please standardize terminology throughout the manuscript.</w:t>
      </w:r>
    </w:p>
    <w:p w14:paraId="16C603A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Ensure consistent SI unit formatting. Check spacing around mathematical symbols. Italicize variables in equations.</w:t>
      </w:r>
    </w:p>
    <w:p w14:paraId="7DDA40CB">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Recent studies from the last 2</w:t>
      </w:r>
      <w:r>
        <w:rPr>
          <w:rFonts w:hint="default" w:ascii="Times New Roman Regular" w:hAnsi="Times New Roman Regular" w:cs="Times New Roman Regular"/>
          <w:lang w:val="en-US" w:eastAsia="zh-CN"/>
        </w:rPr>
        <w:t>-</w:t>
      </w:r>
      <w:r>
        <w:rPr>
          <w:rFonts w:hint="default" w:ascii="Times New Roman Regular" w:hAnsi="Times New Roman Regular" w:cs="Times New Roman Regular" w:eastAsiaTheme="minorEastAsia"/>
          <w:lang w:val="en-US" w:eastAsia="zh-CN"/>
        </w:rPr>
        <w:t>3 years appear underrepresented. Please ensure the manuscript reflects current state-of-the-art research.</w:t>
      </w:r>
    </w:p>
    <w:p w14:paraId="156CA5F2">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lang w:val="en-US" w:eastAsia="zh-CN"/>
        </w:rPr>
      </w:pPr>
    </w:p>
    <w:p w14:paraId="3BDF0067">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sincerely appreciate the reviewer’s constructive and valuable comments, which have greatly helped us improve the scientific rigor, normative expression, and academic depth of the manuscript, and we have completed a comprehensive and targeted revision of the full text in response to all the raised issues</w:t>
      </w:r>
      <w:r>
        <w:rPr>
          <w:rFonts w:hint="default" w:ascii="Times New Roman Regular" w:hAnsi="Times New Roman Regular" w:cs="Times New Roman Regular"/>
          <w:color w:val="0000FF"/>
          <w:lang w:val="en-US" w:eastAsia="zh-CN"/>
        </w:rPr>
        <w:t>. W</w:t>
      </w:r>
      <w:r>
        <w:rPr>
          <w:rFonts w:hint="default" w:ascii="Times New Roman Regular" w:hAnsi="Times New Roman Regular" w:cs="Times New Roman Regular" w:eastAsiaTheme="minorEastAsia"/>
          <w:color w:val="0000FF"/>
          <w:lang w:val="en-US" w:eastAsia="zh-CN"/>
        </w:rPr>
        <w:t>e have added a dedicated critical self-assessment section in the discussion part, which objectively analyzes the strengths, limitations, and future improvement directions of this research, further strengthening the depth of the manuscript’s discussion; we have supplemented complete symbol explanations, clear physical meaning definitions, and standard SI unit annotations immediately below all equations in the manuscript to ensure the clarity and reproducibility of the mathematical expressions</w:t>
      </w:r>
      <w:r>
        <w:rPr>
          <w:rFonts w:hint="default" w:ascii="Times New Roman Regular" w:hAnsi="Times New Roman Regular" w:cs="Times New Roman Regular"/>
          <w:color w:val="0000FF"/>
          <w:lang w:val="en-US" w:eastAsia="zh-CN"/>
        </w:rPr>
        <w:t>. W</w:t>
      </w:r>
      <w:r>
        <w:rPr>
          <w:rFonts w:hint="default" w:ascii="Times New Roman Regular" w:hAnsi="Times New Roman Regular" w:cs="Times New Roman Regular" w:eastAsiaTheme="minorEastAsia"/>
          <w:color w:val="0000FF"/>
          <w:lang w:val="en-US" w:eastAsia="zh-CN"/>
        </w:rPr>
        <w:t>e have sorted out and unified the terminology used throughout the manuscript, standardized the interchangeable terms that were not clearly defined before, and added a dedicated nomenclature section to clarify the definition and abbreviation of core terms, ensuring the consistency of professional expressions in the full text</w:t>
      </w:r>
      <w:r>
        <w:rPr>
          <w:rFonts w:hint="default" w:ascii="Times New Roman Regular" w:hAnsi="Times New Roman Regular" w:cs="Times New Roman Regular"/>
          <w:color w:val="0000FF"/>
          <w:lang w:val="en-US" w:eastAsia="zh-CN"/>
        </w:rPr>
        <w:t>. W</w:t>
      </w:r>
      <w:r>
        <w:rPr>
          <w:rFonts w:hint="default" w:ascii="Times New Roman Regular" w:hAnsi="Times New Roman Regular" w:cs="Times New Roman Regular" w:eastAsiaTheme="minorEastAsia"/>
          <w:color w:val="0000FF"/>
          <w:lang w:val="en-US" w:eastAsia="zh-CN"/>
        </w:rPr>
        <w:t>e have strictly checked and standardized the formatting of SI units, the spacing around mathematical symbols, and the italicization of variables in all equations in accordance with ISO 80000 and international academic journal norms, unifying the standardization of mathematical and unit expressions throughout the manuscript; meanwhile, we have supplemented 32 high-quality latest research literatures published in 2023-2025 in the field of groundwater nitrate prediction, virtual sample generation, quantum-classical hybrid machine learning and remote sensing foundation model application, and integrated the cutting-edge progress and academic viewpoints of these studies into the introduction and discussion sections, so that the manuscript can fully reflect the current state-of-the-art research in this field.</w:t>
      </w:r>
    </w:p>
    <w:p w14:paraId="5A9F4824">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eastAsiaTheme="minorEastAsia"/>
          <w:color w:val="0000FF"/>
          <w:lang w:val="en-US" w:eastAsia="zh-CN"/>
        </w:rPr>
      </w:pPr>
    </w:p>
    <w:p w14:paraId="038EE73A">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Several grammatical errors require professional English editing.</w:t>
      </w:r>
    </w:p>
    <w:p w14:paraId="2B884184">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Some references appear inconsistently formatted.</w:t>
      </w:r>
    </w:p>
    <w:p w14:paraId="47A3599A">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r>
        <w:rPr>
          <w:rFonts w:hint="default" w:ascii="Times New Roman Regular" w:hAnsi="Times New Roman Regular" w:cs="Times New Roman Regular" w:eastAsiaTheme="minorEastAsia"/>
          <w:lang w:val="en-US" w:eastAsia="zh-CN"/>
        </w:rPr>
        <w:t>Figure numbering and cross-referencing should be double-checked.</w:t>
      </w:r>
    </w:p>
    <w:p w14:paraId="23DAF05A">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eastAsiaTheme="minorEastAsia"/>
          <w:lang w:val="en-US" w:eastAsia="zh-CN"/>
        </w:rPr>
      </w:pPr>
    </w:p>
    <w:p w14:paraId="37012628">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 xml:space="preserve">Thank you for this valuable suggestion. We have thoroughly proofread the entire manuscript to correct grammatical errors, improve sentence structure, and enhance overall readability. </w:t>
      </w:r>
    </w:p>
    <w:p w14:paraId="788BBDAB">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have carefully checked all citations in the text and the reference list. All references have now been standardized according to the journal</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eastAsiaTheme="minorEastAsia"/>
          <w:color w:val="0000FF"/>
          <w:lang w:val="en-US" w:eastAsia="zh-CN"/>
        </w:rPr>
        <w:t>s specific style guide. We ensured that author names, publication years, titles, and journal names are consistently formatted throughout the manuscript.</w:t>
      </w:r>
    </w:p>
    <w:p w14:paraId="1F5AE75C">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have conducted a comprehensive check of all figure numbers and their corresponding cross-references in the text. Specifically, we confirmed that all citations match the actual figure labels and the order of appearance in the manuscript. Any discrepancies found during this check have been corrected to ensure consistency throughout the paper.</w:t>
      </w:r>
    </w:p>
    <w:p w14:paraId="39B8524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p>
    <w:p w14:paraId="395A29A1">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believe that these revisions have addressed the issues raised and significantly improved the manuscript. Thank you again for your time and consideration.</w:t>
      </w:r>
    </w:p>
    <w:p w14:paraId="4B1D437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7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Times New Roman Bold">
    <w:panose1 w:val="02020603050405020304"/>
    <w:charset w:val="00"/>
    <w:family w:val="auto"/>
    <w:pitch w:val="default"/>
    <w:sig w:usb0="E0002AEF" w:usb1="C0007841" w:usb2="00000009" w:usb3="00000000" w:csb0="400001FF" w:csb1="FFFF0000"/>
  </w:font>
  <w:font w:name="Times New Roman Regular">
    <w:panose1 w:val="02020603050405020304"/>
    <w:charset w:val="00"/>
    <w:family w:val="auto"/>
    <w:pitch w:val="default"/>
    <w:sig w:usb0="E0002AEF" w:usb1="C0007841" w:usb2="00000009" w:usb3="00000000" w:csb0="400001FF" w:csb1="FFFF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宋体-简">
    <w:panose1 w:val="02010800040101010101"/>
    <w:charset w:val="86"/>
    <w:family w:val="auto"/>
    <w:pitch w:val="default"/>
    <w:sig w:usb0="00000001" w:usb1="080F0000" w:usb2="00000000" w:usb3="00000000" w:csb0="00040000" w:csb1="00000000"/>
  </w:font>
  <w:font w:name="Apple Symbols">
    <w:panose1 w:val="02000000000000000000"/>
    <w:charset w:val="00"/>
    <w:family w:val="auto"/>
    <w:pitch w:val="default"/>
    <w:sig w:usb0="800000A3" w:usb1="08007BEB" w:usb2="01840034" w:usb3="0000A268" w:csb0="200001FB" w:csb1="DDFF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PingFang SC">
    <w:altName w:val="苹方-简"/>
    <w:panose1 w:val="00000000000000000000"/>
    <w:charset w:val="00"/>
    <w:family w:val="auto"/>
    <w:pitch w:val="default"/>
    <w:sig w:usb0="00000000" w:usb1="00000000" w:usb2="00000000" w:usb3="00000000" w:csb0="00000000" w:csb1="00000000"/>
  </w:font>
  <w:font w:name="Tahoma">
    <w:panose1 w:val="020B0804030504040204"/>
    <w:charset w:val="00"/>
    <w:family w:val="auto"/>
    <w:pitch w:val="default"/>
    <w:sig w:usb0="E1002AFF" w:usb1="C000605B" w:usb2="00000029" w:usb3="00000000" w:csb0="200101FF" w:csb1="20280000"/>
  </w:font>
  <w:font w:name="苹方-简">
    <w:altName w:val="Times New Roman"/>
    <w:panose1 w:val="020B0600000000000000"/>
    <w:charset w:val="00"/>
    <w:family w:val="auto"/>
    <w:pitch w:val="default"/>
    <w:sig w:usb0="A00002FF" w:usb1="7ACFFDFB" w:usb2="00000017" w:usb3="00000000" w:csb0="00040001" w:csb1="00000000"/>
  </w:font>
  <w:font w:name="DejaVu Math TeX Gyre">
    <w:panose1 w:val="02000503000000000000"/>
    <w:charset w:val="00"/>
    <w:family w:val="auto"/>
    <w:pitch w:val="default"/>
    <w:sig w:usb0="A10000EF" w:usb1="4201F9EE" w:usb2="02000000" w:usb3="00000000" w:csb0="60000193" w:csb1="0DD40000"/>
  </w:font>
  <w:font w:name="MS Mincho">
    <w:altName w:val="Hiragino Sans"/>
    <w:panose1 w:val="02020609040205080304"/>
    <w:charset w:val="80"/>
    <w:family w:val="modern"/>
    <w:pitch w:val="default"/>
    <w:sig w:usb0="00000000" w:usb1="00000000" w:usb2="08000012" w:usb3="00000000" w:csb0="0002009F" w:csb1="00000000"/>
  </w:font>
  <w:font w:name="Times New Roman Italic">
    <w:panose1 w:val="02020603050405020304"/>
    <w:charset w:val="00"/>
    <w:family w:val="auto"/>
    <w:pitch w:val="default"/>
    <w:sig w:usb0="E0002AEF" w:usb1="C0007841" w:usb2="00000009" w:usb3="00000000" w:csb0="400001FF" w:csb1="FFFF0000"/>
  </w:font>
  <w:font w:name="KaTeX_Math">
    <w:altName w:val="苹方-简"/>
    <w:panose1 w:val="00000000000000000000"/>
    <w:charset w:val="00"/>
    <w:family w:val="auto"/>
    <w:pitch w:val="default"/>
    <w:sig w:usb0="00000000" w:usb1="00000000" w:usb2="00000000" w:usb3="00000000" w:csb0="00000000" w:csb1="00000000"/>
  </w:font>
  <w:font w:name="KaTeX_Main">
    <w:altName w:val="苹方-简"/>
    <w:panose1 w:val="00000000000000000000"/>
    <w:charset w:val="00"/>
    <w:family w:val="auto"/>
    <w:pitch w:val="default"/>
    <w:sig w:usb0="00000000" w:usb1="00000000" w:usb2="00000000" w:usb3="00000000" w:csb0="00000000" w:csb1="00000000"/>
  </w:font>
  <w:font w:name="KaTeX_Size1">
    <w:altName w:val="苹方-简"/>
    <w:panose1 w:val="00000000000000000000"/>
    <w:charset w:val="00"/>
    <w:family w:val="auto"/>
    <w:pitch w:val="default"/>
    <w:sig w:usb0="00000000" w:usb1="00000000" w:usb2="00000000" w:usb3="00000000" w:csb0="00000000" w:csb1="00000000"/>
  </w:font>
  <w:font w:name="Hiragino Sans">
    <w:panose1 w:val="020B0700000000000000"/>
    <w:charset w:val="80"/>
    <w:family w:val="auto"/>
    <w:pitch w:val="default"/>
    <w:sig w:usb0="800002CF" w:usb1="6AC7FCFC" w:usb2="00000012" w:usb3="00000000" w:csb0="0002000D"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3B3077">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CA0A25">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9CA0A25">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4FEBA7B"/>
    <w:multiLevelType w:val="singleLevel"/>
    <w:tmpl w:val="54FEBA7B"/>
    <w:lvl w:ilvl="0" w:tentative="0">
      <w:start w:val="1"/>
      <w:numFmt w:val="decimal"/>
      <w:suff w:val="space"/>
      <w:lvlText w:val="%1."/>
      <w:lvlJc w:val="left"/>
    </w:lvl>
  </w:abstractNum>
  <w:abstractNum w:abstractNumId="1">
    <w:nsid w:val="771EB469"/>
    <w:multiLevelType w:val="singleLevel"/>
    <w:tmpl w:val="771EB469"/>
    <w:lvl w:ilvl="0" w:tentative="0">
      <w:start w:val="1"/>
      <w:numFmt w:val="decimal"/>
      <w:suff w:val="space"/>
      <w:lvlText w:val="%1."/>
      <w:lvlJc w:val="left"/>
    </w:lvl>
  </w:abstractNum>
  <w:abstractNum w:abstractNumId="2">
    <w:nsid w:val="78BEE2EA"/>
    <w:multiLevelType w:val="singleLevel"/>
    <w:tmpl w:val="78BEE2EA"/>
    <w:lvl w:ilvl="0" w:tentative="0">
      <w:start w:val="1"/>
      <w:numFmt w:val="bullet"/>
      <w:lvlText w:val=""/>
      <w:lvlJc w:val="left"/>
      <w:pPr>
        <w:ind w:left="420" w:hanging="420"/>
      </w:pPr>
      <w:rPr>
        <w:rFonts w:hint="default" w:ascii="Wingdings" w:hAnsi="Wingdings"/>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FCF3578"/>
    <w:rsid w:val="1BF75D0D"/>
    <w:rsid w:val="234FE91F"/>
    <w:rsid w:val="2DBE289C"/>
    <w:rsid w:val="2F6B97D9"/>
    <w:rsid w:val="2F7351F7"/>
    <w:rsid w:val="2FBD7F9D"/>
    <w:rsid w:val="2FDB6B82"/>
    <w:rsid w:val="2FFE8F45"/>
    <w:rsid w:val="37FDA978"/>
    <w:rsid w:val="3A3DE6DA"/>
    <w:rsid w:val="3FB5DEC8"/>
    <w:rsid w:val="3FDE2D49"/>
    <w:rsid w:val="3FFED6B9"/>
    <w:rsid w:val="4F0E6016"/>
    <w:rsid w:val="55F5733B"/>
    <w:rsid w:val="57D70255"/>
    <w:rsid w:val="5BFC18DD"/>
    <w:rsid w:val="5D9FC1BC"/>
    <w:rsid w:val="5DC792E1"/>
    <w:rsid w:val="5F3AEF2B"/>
    <w:rsid w:val="5FF75522"/>
    <w:rsid w:val="5FFF4691"/>
    <w:rsid w:val="61B3671C"/>
    <w:rsid w:val="678C10FB"/>
    <w:rsid w:val="6AF716E0"/>
    <w:rsid w:val="6BFBA892"/>
    <w:rsid w:val="6CAF9C8D"/>
    <w:rsid w:val="6CC47897"/>
    <w:rsid w:val="6DFF684E"/>
    <w:rsid w:val="6EDBD097"/>
    <w:rsid w:val="71DE4639"/>
    <w:rsid w:val="71F74EA8"/>
    <w:rsid w:val="737F8659"/>
    <w:rsid w:val="73FECE9E"/>
    <w:rsid w:val="757E4230"/>
    <w:rsid w:val="771D7CE3"/>
    <w:rsid w:val="77AA8877"/>
    <w:rsid w:val="77FB02E9"/>
    <w:rsid w:val="77FF760C"/>
    <w:rsid w:val="77FF8414"/>
    <w:rsid w:val="77FF9750"/>
    <w:rsid w:val="782F7832"/>
    <w:rsid w:val="7A77C6B7"/>
    <w:rsid w:val="7AFED3B5"/>
    <w:rsid w:val="7B7DF533"/>
    <w:rsid w:val="7BF86DBA"/>
    <w:rsid w:val="7C3D524F"/>
    <w:rsid w:val="7CFF6C36"/>
    <w:rsid w:val="7D7FEF05"/>
    <w:rsid w:val="7DB3FA53"/>
    <w:rsid w:val="7DBFFDBC"/>
    <w:rsid w:val="7EDD3A11"/>
    <w:rsid w:val="7EE77E07"/>
    <w:rsid w:val="7F3FB0CD"/>
    <w:rsid w:val="7F757961"/>
    <w:rsid w:val="7F7BEE64"/>
    <w:rsid w:val="7F7F44CD"/>
    <w:rsid w:val="7F8550B4"/>
    <w:rsid w:val="7FCF3578"/>
    <w:rsid w:val="7FDE2CDF"/>
    <w:rsid w:val="7FFB3BD9"/>
    <w:rsid w:val="7FFEE944"/>
    <w:rsid w:val="83F863B7"/>
    <w:rsid w:val="8E3BF8E9"/>
    <w:rsid w:val="9667DCEE"/>
    <w:rsid w:val="97FFFBA7"/>
    <w:rsid w:val="9AD792BC"/>
    <w:rsid w:val="9C7FA532"/>
    <w:rsid w:val="9CEE1EE2"/>
    <w:rsid w:val="9DFD3D2A"/>
    <w:rsid w:val="B5C637CE"/>
    <w:rsid w:val="B6BCF8CE"/>
    <w:rsid w:val="B778147B"/>
    <w:rsid w:val="BB5F4B4D"/>
    <w:rsid w:val="BBDA8570"/>
    <w:rsid w:val="BBFF6B9F"/>
    <w:rsid w:val="BF43B2B9"/>
    <w:rsid w:val="BFFC5B91"/>
    <w:rsid w:val="CBEBABFA"/>
    <w:rsid w:val="CFF68C2C"/>
    <w:rsid w:val="D737998B"/>
    <w:rsid w:val="D7FFF9C3"/>
    <w:rsid w:val="DAD9C42A"/>
    <w:rsid w:val="DEBBECDC"/>
    <w:rsid w:val="DEBC3FE3"/>
    <w:rsid w:val="DED74B2E"/>
    <w:rsid w:val="DEDBAD4C"/>
    <w:rsid w:val="DF72EB25"/>
    <w:rsid w:val="DF7A5EAD"/>
    <w:rsid w:val="DF7C183F"/>
    <w:rsid w:val="DF7CBCA0"/>
    <w:rsid w:val="DFFB74D3"/>
    <w:rsid w:val="DFFFED79"/>
    <w:rsid w:val="E8BF0220"/>
    <w:rsid w:val="EBDF7DFD"/>
    <w:rsid w:val="EBFB59B2"/>
    <w:rsid w:val="EF3F364C"/>
    <w:rsid w:val="F2ED0722"/>
    <w:rsid w:val="F49C1A1A"/>
    <w:rsid w:val="F526B3EE"/>
    <w:rsid w:val="F64FCF2D"/>
    <w:rsid w:val="F66F211F"/>
    <w:rsid w:val="F6D7828F"/>
    <w:rsid w:val="F7DF90F4"/>
    <w:rsid w:val="F7F77030"/>
    <w:rsid w:val="F97F672D"/>
    <w:rsid w:val="FAAF68B2"/>
    <w:rsid w:val="FBAB044F"/>
    <w:rsid w:val="FCFF40A4"/>
    <w:rsid w:val="FD775ED7"/>
    <w:rsid w:val="FDC16E98"/>
    <w:rsid w:val="FDCA08F3"/>
    <w:rsid w:val="FDFF79AB"/>
    <w:rsid w:val="FEED16C4"/>
    <w:rsid w:val="FEFEAEFB"/>
    <w:rsid w:val="FEFF825C"/>
    <w:rsid w:val="FF6AD40D"/>
    <w:rsid w:val="FF6BDDAE"/>
    <w:rsid w:val="FF6BFE6C"/>
    <w:rsid w:val="FF6F4BA3"/>
    <w:rsid w:val="FF9ED3D7"/>
    <w:rsid w:val="FFCF62A2"/>
    <w:rsid w:val="FFF28715"/>
    <w:rsid w:val="FFF2C635"/>
    <w:rsid w:val="FFF54033"/>
    <w:rsid w:val="FFFF42E4"/>
    <w:rsid w:val="FFF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4">
    <w:name w:val="Normal (Web)"/>
    <w:basedOn w:val="1"/>
    <w:uiPriority w:val="0"/>
    <w:pPr>
      <w:spacing w:before="0" w:beforeAutospacing="1" w:after="0" w:afterAutospacing="1"/>
      <w:ind w:left="0" w:right="0"/>
      <w:jc w:val="left"/>
    </w:pPr>
    <w:rPr>
      <w:kern w:val="0"/>
      <w:sz w:val="24"/>
      <w:lang w:val="en-US" w:eastAsia="zh-CN" w:bidi="ar"/>
    </w:rPr>
  </w:style>
  <w:style w:type="character" w:styleId="7">
    <w:name w:val="Strong"/>
    <w:basedOn w:val="6"/>
    <w:qFormat/>
    <w:uiPriority w:val="0"/>
    <w:rPr>
      <w:b/>
    </w:rPr>
  </w:style>
  <w:style w:type="character" w:styleId="8">
    <w:name w:val="HTML Code"/>
    <w:basedOn w:val="6"/>
    <w:uiPriority w:val="0"/>
    <w:rPr>
      <w:rFonts w:ascii="Courier New" w:hAnsi="Courier New"/>
      <w:sz w:val="20"/>
    </w:rPr>
  </w:style>
  <w:style w:type="character" w:customStyle="1" w:styleId="9">
    <w:name w:val="font11"/>
    <w:basedOn w:val="6"/>
    <w:uiPriority w:val="0"/>
    <w:rPr>
      <w:rFonts w:hint="default" w:ascii="Times New Roman Regular" w:hAnsi="Times New Roman Regular" w:eastAsia="Times New Roman Regular" w:cs="Times New Roman Regular"/>
      <w:color w:val="000000"/>
      <w:sz w:val="22"/>
      <w:szCs w:val="22"/>
      <w:u w:val="none"/>
    </w:rPr>
  </w:style>
  <w:style w:type="character" w:customStyle="1" w:styleId="10">
    <w:name w:val="font21"/>
    <w:basedOn w:val="6"/>
    <w:uiPriority w:val="0"/>
    <w:rPr>
      <w:rFonts w:hint="default" w:ascii="Times New Roman" w:hAnsi="Times New Roman" w:cs="Times New Roman"/>
      <w:b/>
      <w:bCs/>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48</Pages>
  <Words>0</Words>
  <Characters>0</Characters>
  <Lines>0</Lines>
  <Paragraphs>0</Paragraphs>
  <TotalTime>2</TotalTime>
  <ScaleCrop>false</ScaleCrop>
  <LinksUpToDate>false</LinksUpToDate>
  <CharactersWithSpaces>0</CharactersWithSpaces>
  <Application>WPS Office_12.1.22553.22553_F1E327BC-269C-435d-A152-05C5408002CA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2026-03-19T11:43:00Z</dcterms:created>
  <dc:creator>sherlock holmes</dc:creator>
  <cp:lastModifiedBy>sherlock holmes</cp:lastModifiedBy>
  <dcterms:modified xsi:type="dcterms:W3CDTF">2026-03-31T16:23:45Z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2052-12.1.22553.22553</vt:lpwstr>
  </property>
  <property fmtid="{D5CDD505-2E9C-101B-9397-08002B2CF9AE}" pid="3" name="ICV">
    <vt:lpwstr>FDA85CEDAB57EAD4551FBA69AE1B5A00_41</vt:lpwstr>
  </property>
</Properties>
</file>